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A9B4" w14:textId="1E7843C5" w:rsidR="00DD2A4E" w:rsidRPr="002D6578" w:rsidRDefault="00DD2A4E">
      <w:pPr>
        <w:rPr>
          <w:rFonts w:ascii="Times New Roman" w:hAnsi="Times New Roman" w:cs="Times New Roman"/>
        </w:rPr>
      </w:pPr>
      <w:r w:rsidRPr="002D6578">
        <w:rPr>
          <w:rFonts w:ascii="Times New Roman" w:hAnsi="Times New Roman" w:cs="Times New Roman"/>
        </w:rPr>
        <w:t>SEC. 16-6-X</w:t>
      </w:r>
      <w:r w:rsidRPr="002D6578">
        <w:rPr>
          <w:rFonts w:ascii="Times New Roman" w:hAnsi="Times New Roman" w:cs="Times New Roman"/>
        </w:rPr>
        <w:tab/>
        <w:t>CX-1 Corridor Mixed-Use District</w:t>
      </w:r>
    </w:p>
    <w:p w14:paraId="24D2B448" w14:textId="11AEF729" w:rsidR="00DD2A4E" w:rsidRPr="002D6578" w:rsidRDefault="00DD2A4E" w:rsidP="00DD2A4E">
      <w:pPr>
        <w:pStyle w:val="ListParagraph"/>
        <w:numPr>
          <w:ilvl w:val="0"/>
          <w:numId w:val="2"/>
        </w:numPr>
        <w:ind w:hanging="720"/>
        <w:rPr>
          <w:rFonts w:ascii="Times New Roman" w:hAnsi="Times New Roman" w:cs="Times New Roman"/>
        </w:rPr>
      </w:pPr>
      <w:r w:rsidRPr="002D6578">
        <w:rPr>
          <w:rFonts w:ascii="Times New Roman" w:hAnsi="Times New Roman" w:cs="Times New Roman"/>
        </w:rPr>
        <w:t xml:space="preserve">STATEMENT OF INTENT: This district is intended to </w:t>
      </w:r>
      <w:r w:rsidR="006348E2" w:rsidRPr="002D6578">
        <w:rPr>
          <w:rFonts w:ascii="Times New Roman" w:hAnsi="Times New Roman" w:cs="Times New Roman"/>
        </w:rPr>
        <w:t xml:space="preserve">promote a diversity of land uses to support </w:t>
      </w:r>
      <w:r w:rsidRPr="002D6578">
        <w:rPr>
          <w:rFonts w:ascii="Times New Roman" w:hAnsi="Times New Roman" w:cs="Times New Roman"/>
        </w:rPr>
        <w:t>walkable</w:t>
      </w:r>
      <w:r w:rsidR="006348E2" w:rsidRPr="002D6578">
        <w:rPr>
          <w:rFonts w:ascii="Times New Roman" w:hAnsi="Times New Roman" w:cs="Times New Roman"/>
        </w:rPr>
        <w:t xml:space="preserve">, </w:t>
      </w:r>
      <w:r w:rsidRPr="002D6578">
        <w:rPr>
          <w:rFonts w:ascii="Times New Roman" w:hAnsi="Times New Roman" w:cs="Times New Roman"/>
        </w:rPr>
        <w:t>mixed-use development patterns</w:t>
      </w:r>
      <w:r w:rsidR="006348E2" w:rsidRPr="002D6578">
        <w:rPr>
          <w:rFonts w:ascii="Times New Roman" w:hAnsi="Times New Roman" w:cs="Times New Roman"/>
        </w:rPr>
        <w:t xml:space="preserve"> along business corridors and nodes</w:t>
      </w:r>
      <w:r w:rsidR="00A229F0" w:rsidRPr="002D6578">
        <w:rPr>
          <w:rFonts w:ascii="Times New Roman" w:hAnsi="Times New Roman" w:cs="Times New Roman"/>
        </w:rPr>
        <w:t xml:space="preserve"> served by municipal sewer</w:t>
      </w:r>
      <w:r w:rsidR="00020BF3" w:rsidRPr="002D6578">
        <w:rPr>
          <w:rFonts w:ascii="Times New Roman" w:hAnsi="Times New Roman" w:cs="Times New Roman"/>
        </w:rPr>
        <w:t xml:space="preserve"> and water</w:t>
      </w:r>
      <w:r w:rsidR="00A229F0" w:rsidRPr="002D6578">
        <w:rPr>
          <w:rFonts w:ascii="Times New Roman" w:hAnsi="Times New Roman" w:cs="Times New Roman"/>
        </w:rPr>
        <w:t>.</w:t>
      </w:r>
    </w:p>
    <w:p w14:paraId="154B3B73" w14:textId="77777777" w:rsidR="00A229F0" w:rsidRPr="002D6578" w:rsidRDefault="00A229F0" w:rsidP="00A229F0">
      <w:pPr>
        <w:pStyle w:val="ListParagraph"/>
        <w:rPr>
          <w:rFonts w:ascii="Times New Roman" w:hAnsi="Times New Roman" w:cs="Times New Roman"/>
        </w:rPr>
      </w:pPr>
    </w:p>
    <w:p w14:paraId="7C61F73E" w14:textId="47BE54BF" w:rsidR="00DD2A4E" w:rsidRPr="002D6578" w:rsidRDefault="00DD2A4E" w:rsidP="00DD2A4E">
      <w:pPr>
        <w:pStyle w:val="ListParagraph"/>
        <w:numPr>
          <w:ilvl w:val="0"/>
          <w:numId w:val="2"/>
        </w:numPr>
        <w:ind w:hanging="720"/>
        <w:rPr>
          <w:rFonts w:ascii="Times New Roman" w:hAnsi="Times New Roman" w:cs="Times New Roman"/>
        </w:rPr>
      </w:pPr>
      <w:r w:rsidRPr="002D6578">
        <w:rPr>
          <w:rFonts w:ascii="Times New Roman" w:hAnsi="Times New Roman" w:cs="Times New Roman"/>
        </w:rPr>
        <w:t>BASIC REGULATIONS</w:t>
      </w:r>
    </w:p>
    <w:p w14:paraId="7741877D" w14:textId="77777777" w:rsidR="006348E2" w:rsidRPr="002D6578" w:rsidRDefault="006348E2" w:rsidP="006348E2">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525"/>
        <w:gridCol w:w="2340"/>
        <w:gridCol w:w="3870"/>
      </w:tblGrid>
      <w:tr w:rsidR="00607FCE" w:rsidRPr="002D6578" w14:paraId="59996A59" w14:textId="77777777" w:rsidTr="00045CE0">
        <w:tc>
          <w:tcPr>
            <w:tcW w:w="1525" w:type="dxa"/>
            <w:vMerge w:val="restart"/>
            <w:vAlign w:val="center"/>
          </w:tcPr>
          <w:p w14:paraId="35764E12" w14:textId="052A4747"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Lot</w:t>
            </w:r>
          </w:p>
        </w:tc>
        <w:tc>
          <w:tcPr>
            <w:tcW w:w="2340" w:type="dxa"/>
            <w:vAlign w:val="center"/>
          </w:tcPr>
          <w:p w14:paraId="169DE647" w14:textId="24B9D98A"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Minimum Width</w:t>
            </w:r>
          </w:p>
        </w:tc>
        <w:tc>
          <w:tcPr>
            <w:tcW w:w="3870" w:type="dxa"/>
            <w:vAlign w:val="center"/>
          </w:tcPr>
          <w:p w14:paraId="4297EE2F" w14:textId="5EF496A2" w:rsidR="00607FCE" w:rsidRPr="002D6578" w:rsidRDefault="00D5607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150</w:t>
            </w:r>
            <w:r w:rsidR="00607FCE" w:rsidRPr="002D6578">
              <w:rPr>
                <w:rFonts w:ascii="Times New Roman" w:hAnsi="Times New Roman" w:cs="Times New Roman"/>
                <w:sz w:val="22"/>
                <w:szCs w:val="22"/>
              </w:rPr>
              <w:t>’</w:t>
            </w:r>
          </w:p>
        </w:tc>
      </w:tr>
      <w:tr w:rsidR="00607FCE" w:rsidRPr="002D6578" w14:paraId="11CBDBA0" w14:textId="77777777" w:rsidTr="00045CE0">
        <w:tc>
          <w:tcPr>
            <w:tcW w:w="1525" w:type="dxa"/>
            <w:vMerge/>
            <w:vAlign w:val="center"/>
          </w:tcPr>
          <w:p w14:paraId="6D91BA09" w14:textId="77777777" w:rsidR="00607FCE" w:rsidRPr="002D6578" w:rsidRDefault="00607FCE" w:rsidP="00FA1D48">
            <w:pPr>
              <w:pStyle w:val="ListParagraph"/>
              <w:ind w:left="0"/>
              <w:rPr>
                <w:rFonts w:ascii="Times New Roman" w:hAnsi="Times New Roman" w:cs="Times New Roman"/>
                <w:sz w:val="22"/>
                <w:szCs w:val="22"/>
              </w:rPr>
            </w:pPr>
          </w:p>
        </w:tc>
        <w:tc>
          <w:tcPr>
            <w:tcW w:w="2340" w:type="dxa"/>
            <w:vAlign w:val="center"/>
          </w:tcPr>
          <w:p w14:paraId="0A9AE615" w14:textId="78D2CE04"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Minimum Area</w:t>
            </w:r>
          </w:p>
        </w:tc>
        <w:tc>
          <w:tcPr>
            <w:tcW w:w="3870" w:type="dxa"/>
            <w:vAlign w:val="center"/>
          </w:tcPr>
          <w:p w14:paraId="73795C03" w14:textId="03AF174A" w:rsidR="00607FCE" w:rsidRPr="002D6578" w:rsidRDefault="00D5607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43,560</w:t>
            </w:r>
            <w:r w:rsidR="00607FCE" w:rsidRPr="002D6578">
              <w:rPr>
                <w:rFonts w:ascii="Times New Roman" w:hAnsi="Times New Roman" w:cs="Times New Roman"/>
                <w:sz w:val="22"/>
                <w:szCs w:val="22"/>
              </w:rPr>
              <w:t xml:space="preserve"> square feet</w:t>
            </w:r>
          </w:p>
        </w:tc>
      </w:tr>
      <w:tr w:rsidR="00607FCE" w:rsidRPr="002D6578" w14:paraId="074C2F42" w14:textId="77777777" w:rsidTr="00045CE0">
        <w:tc>
          <w:tcPr>
            <w:tcW w:w="1525" w:type="dxa"/>
            <w:vMerge/>
            <w:vAlign w:val="center"/>
          </w:tcPr>
          <w:p w14:paraId="54B53867" w14:textId="77777777" w:rsidR="00607FCE" w:rsidRPr="002D6578" w:rsidRDefault="00607FCE" w:rsidP="00FA1D48">
            <w:pPr>
              <w:pStyle w:val="ListParagraph"/>
              <w:ind w:left="0"/>
              <w:rPr>
                <w:rFonts w:ascii="Times New Roman" w:hAnsi="Times New Roman" w:cs="Times New Roman"/>
                <w:sz w:val="22"/>
                <w:szCs w:val="22"/>
              </w:rPr>
            </w:pPr>
          </w:p>
        </w:tc>
        <w:tc>
          <w:tcPr>
            <w:tcW w:w="2340" w:type="dxa"/>
            <w:vAlign w:val="center"/>
          </w:tcPr>
          <w:p w14:paraId="4741B8DC" w14:textId="5148334E"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Minimum Open Space</w:t>
            </w:r>
          </w:p>
        </w:tc>
        <w:tc>
          <w:tcPr>
            <w:tcW w:w="3870" w:type="dxa"/>
            <w:vAlign w:val="center"/>
          </w:tcPr>
          <w:p w14:paraId="3F5DA9E9" w14:textId="268F163B" w:rsidR="00607FCE" w:rsidRPr="002D6578" w:rsidRDefault="00607FCE" w:rsidP="00D5607E">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20%</w:t>
            </w:r>
            <w:r w:rsidR="005275E6" w:rsidRPr="002D6578">
              <w:rPr>
                <w:rFonts w:ascii="Times New Roman" w:hAnsi="Times New Roman" w:cs="Times New Roman"/>
                <w:sz w:val="22"/>
                <w:szCs w:val="22"/>
              </w:rPr>
              <w:t>*</w:t>
            </w:r>
          </w:p>
        </w:tc>
      </w:tr>
      <w:tr w:rsidR="00607FCE" w:rsidRPr="002D6578" w14:paraId="5C454EDD" w14:textId="77777777" w:rsidTr="00045CE0">
        <w:tc>
          <w:tcPr>
            <w:tcW w:w="1525" w:type="dxa"/>
            <w:vMerge/>
            <w:vAlign w:val="center"/>
          </w:tcPr>
          <w:p w14:paraId="28018A6A" w14:textId="77777777" w:rsidR="00607FCE" w:rsidRPr="002D6578" w:rsidRDefault="00607FCE" w:rsidP="00FA1D48">
            <w:pPr>
              <w:pStyle w:val="ListParagraph"/>
              <w:ind w:left="0"/>
              <w:rPr>
                <w:rFonts w:ascii="Times New Roman" w:hAnsi="Times New Roman" w:cs="Times New Roman"/>
                <w:sz w:val="22"/>
                <w:szCs w:val="22"/>
              </w:rPr>
            </w:pPr>
          </w:p>
        </w:tc>
        <w:tc>
          <w:tcPr>
            <w:tcW w:w="2340" w:type="dxa"/>
            <w:vAlign w:val="center"/>
          </w:tcPr>
          <w:p w14:paraId="5E27C22C" w14:textId="4296512E"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Maximum lot coverage</w:t>
            </w:r>
          </w:p>
        </w:tc>
        <w:tc>
          <w:tcPr>
            <w:tcW w:w="3870" w:type="dxa"/>
            <w:vAlign w:val="center"/>
          </w:tcPr>
          <w:p w14:paraId="3650FEA2" w14:textId="36D68B28" w:rsidR="00D5607E" w:rsidRPr="002D6578" w:rsidRDefault="005275E6"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80</w:t>
            </w:r>
            <w:r w:rsidR="00607FCE" w:rsidRPr="002D6578">
              <w:rPr>
                <w:rFonts w:ascii="Times New Roman" w:hAnsi="Times New Roman" w:cs="Times New Roman"/>
                <w:sz w:val="22"/>
                <w:szCs w:val="22"/>
              </w:rPr>
              <w:t>%</w:t>
            </w:r>
          </w:p>
        </w:tc>
      </w:tr>
      <w:tr w:rsidR="00F672C7" w:rsidRPr="002D6578" w14:paraId="0142717D" w14:textId="77777777" w:rsidTr="00045CE0">
        <w:tc>
          <w:tcPr>
            <w:tcW w:w="1525" w:type="dxa"/>
            <w:vAlign w:val="center"/>
          </w:tcPr>
          <w:p w14:paraId="01F87740" w14:textId="0C81374A" w:rsidR="00F672C7" w:rsidRPr="002D6578" w:rsidRDefault="00FA1D48"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Principal Structure</w:t>
            </w:r>
          </w:p>
        </w:tc>
        <w:tc>
          <w:tcPr>
            <w:tcW w:w="2340" w:type="dxa"/>
            <w:vAlign w:val="center"/>
          </w:tcPr>
          <w:p w14:paraId="34037385" w14:textId="4B97707F" w:rsidR="00F672C7" w:rsidRPr="002D6578" w:rsidRDefault="00FA1D48"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Maximum Height</w:t>
            </w:r>
          </w:p>
        </w:tc>
        <w:tc>
          <w:tcPr>
            <w:tcW w:w="3870" w:type="dxa"/>
            <w:vAlign w:val="center"/>
          </w:tcPr>
          <w:p w14:paraId="037381AD" w14:textId="44AE3D47" w:rsidR="00F672C7" w:rsidRPr="002D6578" w:rsidRDefault="00D5607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6</w:t>
            </w:r>
            <w:r w:rsidR="00FA1D48" w:rsidRPr="002D6578">
              <w:rPr>
                <w:rFonts w:ascii="Times New Roman" w:hAnsi="Times New Roman" w:cs="Times New Roman"/>
                <w:sz w:val="22"/>
                <w:szCs w:val="22"/>
              </w:rPr>
              <w:t>0’</w:t>
            </w:r>
          </w:p>
        </w:tc>
      </w:tr>
      <w:tr w:rsidR="00FA1D48" w:rsidRPr="002D6578" w14:paraId="7DDEDE2D" w14:textId="77777777" w:rsidTr="00045CE0">
        <w:tc>
          <w:tcPr>
            <w:tcW w:w="1525" w:type="dxa"/>
            <w:vAlign w:val="center"/>
          </w:tcPr>
          <w:p w14:paraId="7D6C6EF8" w14:textId="1FC9CA65" w:rsidR="00FA1D48" w:rsidRPr="002D6578" w:rsidRDefault="00D5607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Accessory Structures</w:t>
            </w:r>
          </w:p>
        </w:tc>
        <w:tc>
          <w:tcPr>
            <w:tcW w:w="2340" w:type="dxa"/>
            <w:vAlign w:val="center"/>
          </w:tcPr>
          <w:p w14:paraId="43EA1595" w14:textId="20EC977D" w:rsidR="00FA1D48" w:rsidRPr="002D6578" w:rsidRDefault="00FA1D48"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Maximum Height</w:t>
            </w:r>
          </w:p>
        </w:tc>
        <w:tc>
          <w:tcPr>
            <w:tcW w:w="3870" w:type="dxa"/>
            <w:vAlign w:val="center"/>
          </w:tcPr>
          <w:p w14:paraId="064AC7C7" w14:textId="402C86EB" w:rsidR="00FA1D48" w:rsidRPr="002D6578" w:rsidRDefault="004F2EE8"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30’</w:t>
            </w:r>
            <w:r w:rsidR="00DC5F9E" w:rsidRPr="002D6578">
              <w:rPr>
                <w:rFonts w:ascii="Times New Roman" w:hAnsi="Times New Roman" w:cs="Times New Roman"/>
                <w:sz w:val="22"/>
                <w:szCs w:val="22"/>
              </w:rPr>
              <w:t xml:space="preserve"> (or height of principal structure, whichever is lower)</w:t>
            </w:r>
          </w:p>
        </w:tc>
      </w:tr>
      <w:tr w:rsidR="00607FCE" w:rsidRPr="002D6578" w14:paraId="04A9249F" w14:textId="77777777" w:rsidTr="00045CE0">
        <w:tc>
          <w:tcPr>
            <w:tcW w:w="1525" w:type="dxa"/>
            <w:vMerge w:val="restart"/>
            <w:vAlign w:val="center"/>
          </w:tcPr>
          <w:p w14:paraId="5D1BF5A1" w14:textId="6007AB4B"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Setbacks – All Structures</w:t>
            </w:r>
          </w:p>
        </w:tc>
        <w:tc>
          <w:tcPr>
            <w:tcW w:w="2340" w:type="dxa"/>
            <w:vAlign w:val="center"/>
          </w:tcPr>
          <w:p w14:paraId="14AB09DE" w14:textId="7DACD9A6"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Street</w:t>
            </w:r>
          </w:p>
        </w:tc>
        <w:tc>
          <w:tcPr>
            <w:tcW w:w="3870" w:type="dxa"/>
            <w:vAlign w:val="center"/>
          </w:tcPr>
          <w:p w14:paraId="00A63E1A" w14:textId="79CC3E30"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15’</w:t>
            </w:r>
          </w:p>
        </w:tc>
      </w:tr>
      <w:tr w:rsidR="00607FCE" w:rsidRPr="002D6578" w14:paraId="53123627" w14:textId="77777777" w:rsidTr="00045CE0">
        <w:trPr>
          <w:trHeight w:val="206"/>
        </w:trPr>
        <w:tc>
          <w:tcPr>
            <w:tcW w:w="1525" w:type="dxa"/>
            <w:vMerge/>
            <w:vAlign w:val="center"/>
          </w:tcPr>
          <w:p w14:paraId="49F85938" w14:textId="77777777" w:rsidR="00607FCE" w:rsidRPr="002D6578" w:rsidRDefault="00607FCE" w:rsidP="00FA1D48">
            <w:pPr>
              <w:pStyle w:val="ListParagraph"/>
              <w:ind w:left="0"/>
              <w:rPr>
                <w:rFonts w:ascii="Times New Roman" w:hAnsi="Times New Roman" w:cs="Times New Roman"/>
                <w:sz w:val="22"/>
                <w:szCs w:val="22"/>
              </w:rPr>
            </w:pPr>
          </w:p>
        </w:tc>
        <w:tc>
          <w:tcPr>
            <w:tcW w:w="2340" w:type="dxa"/>
            <w:vAlign w:val="center"/>
          </w:tcPr>
          <w:p w14:paraId="578399C6" w14:textId="63223EC9"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Rear</w:t>
            </w:r>
          </w:p>
        </w:tc>
        <w:tc>
          <w:tcPr>
            <w:tcW w:w="3870" w:type="dxa"/>
            <w:vAlign w:val="center"/>
          </w:tcPr>
          <w:p w14:paraId="6EAF385D" w14:textId="0C3773E7"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15’</w:t>
            </w:r>
          </w:p>
        </w:tc>
      </w:tr>
      <w:tr w:rsidR="00607FCE" w:rsidRPr="002D6578" w14:paraId="4892468B" w14:textId="77777777" w:rsidTr="00045CE0">
        <w:tc>
          <w:tcPr>
            <w:tcW w:w="1525" w:type="dxa"/>
            <w:vMerge/>
            <w:vAlign w:val="center"/>
          </w:tcPr>
          <w:p w14:paraId="5AE8F842" w14:textId="77777777" w:rsidR="00607FCE" w:rsidRPr="002D6578" w:rsidRDefault="00607FCE" w:rsidP="00FA1D48">
            <w:pPr>
              <w:pStyle w:val="ListParagraph"/>
              <w:ind w:left="0"/>
              <w:rPr>
                <w:rFonts w:ascii="Times New Roman" w:hAnsi="Times New Roman" w:cs="Times New Roman"/>
                <w:sz w:val="22"/>
                <w:szCs w:val="22"/>
              </w:rPr>
            </w:pPr>
          </w:p>
        </w:tc>
        <w:tc>
          <w:tcPr>
            <w:tcW w:w="2340" w:type="dxa"/>
            <w:vAlign w:val="center"/>
          </w:tcPr>
          <w:p w14:paraId="3688E94C" w14:textId="5D8F8681"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Side</w:t>
            </w:r>
          </w:p>
        </w:tc>
        <w:tc>
          <w:tcPr>
            <w:tcW w:w="3870" w:type="dxa"/>
            <w:vAlign w:val="center"/>
          </w:tcPr>
          <w:p w14:paraId="3D6AE2F9" w14:textId="56FEDE23" w:rsidR="00607FCE" w:rsidRPr="002D6578" w:rsidRDefault="00607FCE" w:rsidP="00FA1D48">
            <w:pPr>
              <w:pStyle w:val="ListParagraph"/>
              <w:ind w:left="0"/>
              <w:rPr>
                <w:rFonts w:ascii="Times New Roman" w:hAnsi="Times New Roman" w:cs="Times New Roman"/>
                <w:sz w:val="22"/>
                <w:szCs w:val="22"/>
              </w:rPr>
            </w:pPr>
            <w:r w:rsidRPr="002D6578">
              <w:rPr>
                <w:rFonts w:ascii="Times New Roman" w:hAnsi="Times New Roman" w:cs="Times New Roman"/>
                <w:sz w:val="22"/>
                <w:szCs w:val="22"/>
              </w:rPr>
              <w:t>15’</w:t>
            </w:r>
          </w:p>
        </w:tc>
      </w:tr>
    </w:tbl>
    <w:p w14:paraId="214F5B55" w14:textId="65924BFD" w:rsidR="005275E6" w:rsidRPr="002D6578" w:rsidRDefault="005275E6" w:rsidP="008E5623">
      <w:pPr>
        <w:spacing w:after="0" w:line="240" w:lineRule="auto"/>
        <w:ind w:left="720"/>
        <w:rPr>
          <w:rFonts w:ascii="Times New Roman" w:hAnsi="Times New Roman" w:cs="Times New Roman"/>
          <w:sz w:val="20"/>
          <w:szCs w:val="20"/>
        </w:rPr>
      </w:pPr>
      <w:r w:rsidRPr="002D6578">
        <w:rPr>
          <w:rFonts w:ascii="Times New Roman" w:hAnsi="Times New Roman" w:cs="Times New Roman"/>
          <w:sz w:val="20"/>
          <w:szCs w:val="20"/>
        </w:rPr>
        <w:t xml:space="preserve">* </w:t>
      </w:r>
      <w:r w:rsidR="008E5623" w:rsidRPr="002D6578">
        <w:rPr>
          <w:rFonts w:ascii="Times New Roman" w:hAnsi="Times New Roman" w:cs="Times New Roman"/>
          <w:sz w:val="20"/>
          <w:szCs w:val="20"/>
        </w:rPr>
        <w:t>Sec. 16-6-X(f)(1): A minimum of ten percent (10%) of the required open space shall be designed as usable open space</w:t>
      </w:r>
      <w:r w:rsidRPr="002D6578">
        <w:rPr>
          <w:rFonts w:ascii="Times New Roman" w:hAnsi="Times New Roman" w:cs="Times New Roman"/>
          <w:sz w:val="20"/>
          <w:szCs w:val="20"/>
        </w:rPr>
        <w:t xml:space="preserve">. </w:t>
      </w:r>
    </w:p>
    <w:p w14:paraId="7BC5FA43" w14:textId="77777777" w:rsidR="006D2AB2" w:rsidRPr="002D6578" w:rsidRDefault="006D2AB2" w:rsidP="006D2AB2">
      <w:pPr>
        <w:ind w:left="810"/>
        <w:rPr>
          <w:rFonts w:ascii="Times New Roman" w:hAnsi="Times New Roman" w:cs="Times New Roman"/>
        </w:rPr>
      </w:pPr>
    </w:p>
    <w:p w14:paraId="49628741" w14:textId="0BECD4C1" w:rsidR="00F834B6" w:rsidRPr="002D6578" w:rsidRDefault="00F834B6" w:rsidP="00F834B6">
      <w:pPr>
        <w:pStyle w:val="ListParagraph"/>
        <w:numPr>
          <w:ilvl w:val="0"/>
          <w:numId w:val="2"/>
        </w:numPr>
        <w:ind w:hanging="720"/>
        <w:rPr>
          <w:rFonts w:ascii="Times New Roman" w:hAnsi="Times New Roman" w:cs="Times New Roman"/>
        </w:rPr>
      </w:pPr>
      <w:r w:rsidRPr="002D6578">
        <w:rPr>
          <w:rFonts w:ascii="Times New Roman" w:hAnsi="Times New Roman" w:cs="Times New Roman"/>
        </w:rPr>
        <w:t>PERMITTED USES BY RIGHT (“PERMITTED USES BY RIGHT”)</w:t>
      </w:r>
    </w:p>
    <w:p w14:paraId="0A100007" w14:textId="6D036113" w:rsidR="00F834B6" w:rsidRPr="002D6578" w:rsidRDefault="00F834B6"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Multiple-family dwellings, more than three (3) units per structure</w:t>
      </w:r>
      <w:r w:rsidR="00D5607E" w:rsidRPr="002D6578">
        <w:rPr>
          <w:rFonts w:ascii="Times New Roman" w:hAnsi="Times New Roman" w:cs="Times New Roman"/>
        </w:rPr>
        <w:t>.</w:t>
      </w:r>
    </w:p>
    <w:p w14:paraId="09D78356" w14:textId="1E42354C" w:rsidR="00F834B6"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Licensed Community Living Arrangements</w:t>
      </w:r>
      <w:r w:rsidR="00D5607E" w:rsidRPr="002D6578">
        <w:rPr>
          <w:rFonts w:ascii="Times New Roman" w:hAnsi="Times New Roman" w:cs="Times New Roman"/>
        </w:rPr>
        <w:t>.</w:t>
      </w:r>
    </w:p>
    <w:p w14:paraId="3A52D58D" w14:textId="59F6B352"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 xml:space="preserve">Retail establishments selling and storing </w:t>
      </w:r>
      <w:proofErr w:type="gramStart"/>
      <w:r w:rsidRPr="002D6578">
        <w:rPr>
          <w:rFonts w:ascii="Times New Roman" w:hAnsi="Times New Roman" w:cs="Times New Roman"/>
        </w:rPr>
        <w:t>product</w:t>
      </w:r>
      <w:proofErr w:type="gramEnd"/>
      <w:r w:rsidRPr="002D6578">
        <w:rPr>
          <w:rFonts w:ascii="Times New Roman" w:hAnsi="Times New Roman" w:cs="Times New Roman"/>
        </w:rPr>
        <w:t xml:space="preserve"> and merchandise.</w:t>
      </w:r>
    </w:p>
    <w:p w14:paraId="04AAA21D" w14:textId="0D37E1FC"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Professional Offices</w:t>
      </w:r>
      <w:r w:rsidR="00E046AC" w:rsidRPr="002D6578">
        <w:rPr>
          <w:rFonts w:ascii="Times New Roman" w:hAnsi="Times New Roman" w:cs="Times New Roman"/>
        </w:rPr>
        <w:t>.</w:t>
      </w:r>
    </w:p>
    <w:p w14:paraId="1C270898" w14:textId="33E54794"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Restaurants</w:t>
      </w:r>
      <w:r w:rsidR="00E046AC" w:rsidRPr="002D6578">
        <w:rPr>
          <w:rFonts w:ascii="Times New Roman" w:hAnsi="Times New Roman" w:cs="Times New Roman"/>
        </w:rPr>
        <w:t>.</w:t>
      </w:r>
    </w:p>
    <w:p w14:paraId="674E6FC3" w14:textId="7DF7DA18"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Financial Institutions</w:t>
      </w:r>
      <w:r w:rsidR="00E046AC" w:rsidRPr="002D6578">
        <w:rPr>
          <w:rFonts w:ascii="Times New Roman" w:hAnsi="Times New Roman" w:cs="Times New Roman"/>
        </w:rPr>
        <w:t>.</w:t>
      </w:r>
    </w:p>
    <w:p w14:paraId="3FFC69B3" w14:textId="2876C90D"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Churches</w:t>
      </w:r>
      <w:r w:rsidR="00E046AC" w:rsidRPr="002D6578">
        <w:rPr>
          <w:rFonts w:ascii="Times New Roman" w:hAnsi="Times New Roman" w:cs="Times New Roman"/>
        </w:rPr>
        <w:t>.</w:t>
      </w:r>
    </w:p>
    <w:p w14:paraId="302C4FC8" w14:textId="700BB4C9"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Personal Service Establishments</w:t>
      </w:r>
      <w:r w:rsidR="00E046AC" w:rsidRPr="002D6578">
        <w:rPr>
          <w:rFonts w:ascii="Times New Roman" w:hAnsi="Times New Roman" w:cs="Times New Roman"/>
        </w:rPr>
        <w:t>.</w:t>
      </w:r>
    </w:p>
    <w:p w14:paraId="3C9CD71C" w14:textId="0C2384A6" w:rsidR="005651DE" w:rsidRPr="002D6578" w:rsidRDefault="005651DE" w:rsidP="00F834B6">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State Licensed Massage Therapy</w:t>
      </w:r>
      <w:r w:rsidR="00E046AC" w:rsidRPr="002D6578">
        <w:rPr>
          <w:rFonts w:ascii="Times New Roman" w:hAnsi="Times New Roman" w:cs="Times New Roman"/>
        </w:rPr>
        <w:t>.</w:t>
      </w:r>
    </w:p>
    <w:p w14:paraId="3FBD97E6" w14:textId="49A49112" w:rsidR="005651DE" w:rsidRPr="002D6578" w:rsidRDefault="005651DE" w:rsidP="005651DE">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State Licensed Tattoo Piercing Studio</w:t>
      </w:r>
      <w:r w:rsidR="00E046AC" w:rsidRPr="002D6578">
        <w:rPr>
          <w:rFonts w:ascii="Times New Roman" w:hAnsi="Times New Roman" w:cs="Times New Roman"/>
        </w:rPr>
        <w:t>.</w:t>
      </w:r>
    </w:p>
    <w:p w14:paraId="4FD3F63D" w14:textId="77777777" w:rsidR="00D5607E" w:rsidRPr="002D6578" w:rsidRDefault="00D5607E" w:rsidP="00D5607E">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 xml:space="preserve">All Private Utility Installations provided all principal structures and uses are not less than fifty (50) feet from any residential district lot line. </w:t>
      </w:r>
    </w:p>
    <w:p w14:paraId="119A6571" w14:textId="77777777" w:rsidR="00D5607E" w:rsidRPr="002D6578" w:rsidRDefault="00D5607E" w:rsidP="00D5607E">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Governmental and cultural uses, such as fire and police stations, community centers, libraries, public emergency shelters, parks, playgrounds and museums.</w:t>
      </w:r>
    </w:p>
    <w:p w14:paraId="6B326D60" w14:textId="77777777" w:rsidR="00D5607E" w:rsidRPr="002D6578" w:rsidRDefault="00D5607E" w:rsidP="00D5607E">
      <w:pPr>
        <w:pStyle w:val="ListParagraph"/>
        <w:numPr>
          <w:ilvl w:val="0"/>
          <w:numId w:val="4"/>
        </w:numPr>
        <w:rPr>
          <w:rFonts w:ascii="Times New Roman" w:hAnsi="Times New Roman" w:cs="Times New Roman"/>
        </w:rPr>
      </w:pPr>
      <w:r w:rsidRPr="002D6578">
        <w:rPr>
          <w:rFonts w:ascii="Times New Roman" w:hAnsi="Times New Roman" w:cs="Times New Roman"/>
        </w:rPr>
        <w:t xml:space="preserve">Public and parochial and private elementary and secondary schools. </w:t>
      </w:r>
    </w:p>
    <w:p w14:paraId="089AE71A" w14:textId="77777777" w:rsidR="00D5607E" w:rsidRPr="002D6578" w:rsidRDefault="00D5607E" w:rsidP="00D5607E">
      <w:pPr>
        <w:pStyle w:val="ListParagraph"/>
        <w:numPr>
          <w:ilvl w:val="0"/>
          <w:numId w:val="4"/>
        </w:numPr>
        <w:ind w:left="1440" w:hanging="720"/>
        <w:rPr>
          <w:rFonts w:ascii="Times New Roman" w:hAnsi="Times New Roman" w:cs="Times New Roman"/>
        </w:rPr>
      </w:pPr>
      <w:r w:rsidRPr="002D6578">
        <w:rPr>
          <w:rFonts w:ascii="Times New Roman" w:hAnsi="Times New Roman" w:cs="Times New Roman"/>
        </w:rPr>
        <w:t xml:space="preserve">Rest homes, nursing homes, homes for the aged, clinics and children’s nurseries provided all principal structures and uses are not less than fifty (50) feet from any lot line. </w:t>
      </w:r>
    </w:p>
    <w:p w14:paraId="39A08139" w14:textId="77777777" w:rsidR="00D5607E" w:rsidRPr="002D6578" w:rsidRDefault="00D5607E" w:rsidP="00D5607E">
      <w:pPr>
        <w:pStyle w:val="ListParagraph"/>
        <w:numPr>
          <w:ilvl w:val="0"/>
          <w:numId w:val="4"/>
        </w:numPr>
        <w:rPr>
          <w:rFonts w:ascii="Times New Roman" w:hAnsi="Times New Roman" w:cs="Times New Roman"/>
        </w:rPr>
      </w:pPr>
      <w:r w:rsidRPr="002D6578">
        <w:rPr>
          <w:rFonts w:ascii="Times New Roman" w:hAnsi="Times New Roman" w:cs="Times New Roman"/>
        </w:rPr>
        <w:t>Licensed commercial day care centers.</w:t>
      </w:r>
    </w:p>
    <w:p w14:paraId="5D8A4B0F" w14:textId="0E56F402" w:rsidR="00D5607E" w:rsidRPr="002D6578" w:rsidRDefault="00D5607E" w:rsidP="00D5607E">
      <w:pPr>
        <w:pStyle w:val="ListParagraph"/>
        <w:numPr>
          <w:ilvl w:val="0"/>
          <w:numId w:val="4"/>
        </w:numPr>
        <w:rPr>
          <w:rFonts w:ascii="Times New Roman" w:hAnsi="Times New Roman" w:cs="Times New Roman"/>
        </w:rPr>
      </w:pPr>
      <w:r w:rsidRPr="002D6578">
        <w:rPr>
          <w:rFonts w:ascii="Times New Roman" w:hAnsi="Times New Roman" w:cs="Times New Roman"/>
        </w:rPr>
        <w:t>Pet grooming.</w:t>
      </w:r>
    </w:p>
    <w:p w14:paraId="1D6E791C" w14:textId="4ADFFF6E" w:rsidR="00D5607E" w:rsidRPr="002D6578" w:rsidRDefault="00D5607E" w:rsidP="00D5607E">
      <w:pPr>
        <w:pStyle w:val="ListParagraph"/>
        <w:numPr>
          <w:ilvl w:val="0"/>
          <w:numId w:val="4"/>
        </w:numPr>
        <w:rPr>
          <w:rFonts w:ascii="Times New Roman" w:hAnsi="Times New Roman" w:cs="Times New Roman"/>
        </w:rPr>
      </w:pPr>
      <w:r w:rsidRPr="002D6578">
        <w:rPr>
          <w:rFonts w:ascii="Times New Roman" w:hAnsi="Times New Roman" w:cs="Times New Roman"/>
        </w:rPr>
        <w:lastRenderedPageBreak/>
        <w:t>Commercial Recreation Facilities.</w:t>
      </w:r>
    </w:p>
    <w:p w14:paraId="353866FE" w14:textId="77777777" w:rsidR="00D5607E" w:rsidRPr="002D6578" w:rsidRDefault="00D5607E" w:rsidP="00D5607E">
      <w:pPr>
        <w:pStyle w:val="ListParagraph"/>
        <w:ind w:left="1440"/>
        <w:rPr>
          <w:rFonts w:ascii="Times New Roman" w:hAnsi="Times New Roman" w:cs="Times New Roman"/>
        </w:rPr>
      </w:pPr>
    </w:p>
    <w:p w14:paraId="5BBAF0A4" w14:textId="5E2E6D92" w:rsidR="005651DE" w:rsidRPr="002D6578" w:rsidRDefault="00E046AC" w:rsidP="005651DE">
      <w:pPr>
        <w:pStyle w:val="ListParagraph"/>
        <w:numPr>
          <w:ilvl w:val="0"/>
          <w:numId w:val="2"/>
        </w:numPr>
        <w:ind w:hanging="720"/>
        <w:rPr>
          <w:rFonts w:ascii="Times New Roman" w:hAnsi="Times New Roman" w:cs="Times New Roman"/>
        </w:rPr>
      </w:pPr>
      <w:r w:rsidRPr="002D6578">
        <w:rPr>
          <w:rFonts w:ascii="Times New Roman" w:hAnsi="Times New Roman" w:cs="Times New Roman"/>
        </w:rPr>
        <w:t>PERMITTED ACCESSORY USES (“ACCESSORY USES”)</w:t>
      </w:r>
    </w:p>
    <w:p w14:paraId="2DCFC852" w14:textId="72B59A98" w:rsidR="00E046AC" w:rsidRPr="002D6578" w:rsidRDefault="00E046AC" w:rsidP="00E046AC">
      <w:pPr>
        <w:pStyle w:val="ListParagraph"/>
        <w:numPr>
          <w:ilvl w:val="0"/>
          <w:numId w:val="5"/>
        </w:numPr>
        <w:ind w:left="1440" w:hanging="720"/>
        <w:rPr>
          <w:rFonts w:ascii="Times New Roman" w:hAnsi="Times New Roman" w:cs="Times New Roman"/>
        </w:rPr>
      </w:pPr>
      <w:r w:rsidRPr="002D6578">
        <w:rPr>
          <w:rFonts w:ascii="Times New Roman" w:hAnsi="Times New Roman" w:cs="Times New Roman"/>
        </w:rPr>
        <w:t>Renewable energy structures.</w:t>
      </w:r>
    </w:p>
    <w:p w14:paraId="63048676" w14:textId="77777777" w:rsidR="00E046AC" w:rsidRPr="002D6578" w:rsidRDefault="00E046AC" w:rsidP="00E046AC">
      <w:pPr>
        <w:pStyle w:val="ListParagraph"/>
        <w:numPr>
          <w:ilvl w:val="0"/>
          <w:numId w:val="5"/>
        </w:numPr>
        <w:ind w:left="1440" w:hanging="720"/>
        <w:rPr>
          <w:rFonts w:ascii="Times New Roman" w:hAnsi="Times New Roman" w:cs="Times New Roman"/>
        </w:rPr>
      </w:pPr>
      <w:r w:rsidRPr="002D6578">
        <w:rPr>
          <w:rFonts w:ascii="Times New Roman" w:hAnsi="Times New Roman" w:cs="Times New Roman"/>
        </w:rPr>
        <w:t>Off-street parking for residential uses.</w:t>
      </w:r>
    </w:p>
    <w:p w14:paraId="40951B59" w14:textId="17F62AC3" w:rsidR="00E046AC" w:rsidRPr="002D6578" w:rsidRDefault="00E046AC" w:rsidP="00E046AC">
      <w:pPr>
        <w:pStyle w:val="ListParagraph"/>
        <w:numPr>
          <w:ilvl w:val="0"/>
          <w:numId w:val="5"/>
        </w:numPr>
        <w:ind w:left="1440" w:hanging="720"/>
        <w:rPr>
          <w:rFonts w:ascii="Times New Roman" w:hAnsi="Times New Roman" w:cs="Times New Roman"/>
        </w:rPr>
      </w:pPr>
      <w:r w:rsidRPr="002D6578">
        <w:rPr>
          <w:rFonts w:ascii="Times New Roman" w:hAnsi="Times New Roman" w:cs="Times New Roman"/>
        </w:rPr>
        <w:t>Off-street parking and loading areas in conjunction with the operation of a business.</w:t>
      </w:r>
    </w:p>
    <w:p w14:paraId="515DB109" w14:textId="1A33C8D3" w:rsidR="00E046AC" w:rsidRPr="002D6578" w:rsidRDefault="00E046AC" w:rsidP="00E046AC">
      <w:pPr>
        <w:pStyle w:val="ListParagraph"/>
        <w:numPr>
          <w:ilvl w:val="0"/>
          <w:numId w:val="5"/>
        </w:numPr>
        <w:ind w:left="1440" w:hanging="720"/>
        <w:rPr>
          <w:rFonts w:ascii="Times New Roman" w:hAnsi="Times New Roman" w:cs="Times New Roman"/>
        </w:rPr>
      </w:pPr>
      <w:r w:rsidRPr="002D6578">
        <w:rPr>
          <w:rFonts w:ascii="Times New Roman" w:hAnsi="Times New Roman" w:cs="Times New Roman"/>
        </w:rPr>
        <w:t>Uses incidental to residential uses subject to Plan Commission approvals</w:t>
      </w:r>
    </w:p>
    <w:p w14:paraId="4CEEB870" w14:textId="01271FA0" w:rsidR="00E046AC" w:rsidRPr="002D6578" w:rsidRDefault="00E046AC" w:rsidP="00E046AC">
      <w:pPr>
        <w:pStyle w:val="ListParagraph"/>
        <w:numPr>
          <w:ilvl w:val="0"/>
          <w:numId w:val="5"/>
        </w:numPr>
        <w:ind w:left="1440" w:hanging="720"/>
        <w:rPr>
          <w:rFonts w:ascii="Times New Roman" w:hAnsi="Times New Roman" w:cs="Times New Roman"/>
        </w:rPr>
      </w:pPr>
      <w:r w:rsidRPr="002D6578">
        <w:rPr>
          <w:rFonts w:ascii="Times New Roman" w:hAnsi="Times New Roman" w:cs="Times New Roman"/>
        </w:rPr>
        <w:t>Uses incidental with the operation of a business subject to Plan Commission approvals</w:t>
      </w:r>
    </w:p>
    <w:p w14:paraId="1E42A4E5" w14:textId="77777777" w:rsidR="00241C5F" w:rsidRPr="002D6578" w:rsidRDefault="00241C5F" w:rsidP="00241C5F">
      <w:pPr>
        <w:pStyle w:val="ListParagraph"/>
        <w:ind w:left="1440"/>
        <w:rPr>
          <w:rFonts w:ascii="Times New Roman" w:hAnsi="Times New Roman" w:cs="Times New Roman"/>
        </w:rPr>
      </w:pPr>
    </w:p>
    <w:p w14:paraId="2EACB4CE" w14:textId="3C8935A8" w:rsidR="00460A19" w:rsidRPr="002D6578" w:rsidRDefault="00241C5F" w:rsidP="00241C5F">
      <w:pPr>
        <w:pStyle w:val="ListParagraph"/>
        <w:numPr>
          <w:ilvl w:val="0"/>
          <w:numId w:val="2"/>
        </w:numPr>
        <w:ind w:hanging="720"/>
        <w:rPr>
          <w:rFonts w:ascii="Times New Roman" w:hAnsi="Times New Roman" w:cs="Times New Roman"/>
        </w:rPr>
      </w:pPr>
      <w:r w:rsidRPr="002D6578">
        <w:rPr>
          <w:rFonts w:ascii="Times New Roman" w:hAnsi="Times New Roman" w:cs="Times New Roman"/>
        </w:rPr>
        <w:t>OFF-STREET PARKING</w:t>
      </w:r>
      <w:r w:rsidR="00E104B5" w:rsidRPr="002D6578">
        <w:rPr>
          <w:rFonts w:ascii="Times New Roman" w:hAnsi="Times New Roman" w:cs="Times New Roman"/>
        </w:rPr>
        <w:t xml:space="preserve"> REQUIREMENTS</w:t>
      </w:r>
    </w:p>
    <w:p w14:paraId="7D2B1741" w14:textId="40D7278F" w:rsidR="00E104B5" w:rsidRPr="002D6578" w:rsidRDefault="00E104B5" w:rsidP="00BE42DC">
      <w:pPr>
        <w:pStyle w:val="ListParagraph"/>
        <w:numPr>
          <w:ilvl w:val="0"/>
          <w:numId w:val="8"/>
        </w:numPr>
        <w:rPr>
          <w:rFonts w:ascii="Times New Roman" w:hAnsi="Times New Roman" w:cs="Times New Roman"/>
          <w:b/>
          <w:bCs/>
        </w:rPr>
      </w:pPr>
      <w:r w:rsidRPr="002D6578">
        <w:rPr>
          <w:rFonts w:ascii="Times New Roman" w:hAnsi="Times New Roman" w:cs="Times New Roman"/>
          <w:b/>
          <w:bCs/>
        </w:rPr>
        <w:t xml:space="preserve">Minimum Parking Space Requirements. </w:t>
      </w:r>
      <w:r w:rsidR="00BE42DC" w:rsidRPr="002D6578">
        <w:rPr>
          <w:rFonts w:ascii="Times New Roman" w:hAnsi="Times New Roman" w:cs="Times New Roman"/>
        </w:rPr>
        <w:t xml:space="preserve">Off-street vehicle parking space ("parking space") for this district shall be </w:t>
      </w:r>
      <w:r w:rsidR="006A7ACF" w:rsidRPr="002D6578">
        <w:rPr>
          <w:rFonts w:ascii="Times New Roman" w:hAnsi="Times New Roman" w:cs="Times New Roman"/>
        </w:rPr>
        <w:t xml:space="preserve">reduced, being </w:t>
      </w:r>
      <w:r w:rsidR="00BE42DC" w:rsidRPr="002D6578">
        <w:rPr>
          <w:rFonts w:ascii="Times New Roman" w:hAnsi="Times New Roman" w:cs="Times New Roman"/>
        </w:rPr>
        <w:t>provided for buildings and uses as hereinafter specified.</w:t>
      </w:r>
    </w:p>
    <w:tbl>
      <w:tblPr>
        <w:tblStyle w:val="TableGrid"/>
        <w:tblW w:w="10170" w:type="dxa"/>
        <w:tblInd w:w="-545" w:type="dxa"/>
        <w:tblLook w:val="04A0" w:firstRow="1" w:lastRow="0" w:firstColumn="1" w:lastColumn="0" w:noHBand="0" w:noVBand="1"/>
      </w:tblPr>
      <w:tblGrid>
        <w:gridCol w:w="3600"/>
        <w:gridCol w:w="4140"/>
        <w:gridCol w:w="2430"/>
      </w:tblGrid>
      <w:tr w:rsidR="006A7ACF" w:rsidRPr="002D6578" w14:paraId="2299F93F" w14:textId="7637AFD6" w:rsidTr="0053628C">
        <w:trPr>
          <w:trHeight w:val="539"/>
        </w:trPr>
        <w:tc>
          <w:tcPr>
            <w:tcW w:w="3600" w:type="dxa"/>
            <w:tcBorders>
              <w:bottom w:val="single" w:sz="12" w:space="0" w:color="auto"/>
            </w:tcBorders>
            <w:vAlign w:val="center"/>
          </w:tcPr>
          <w:p w14:paraId="27425E69" w14:textId="57F4DA8A" w:rsidR="006A7ACF" w:rsidRPr="002D6578" w:rsidRDefault="006A7ACF" w:rsidP="00BE42DC">
            <w:pPr>
              <w:jc w:val="center"/>
              <w:rPr>
                <w:rFonts w:ascii="Times New Roman" w:hAnsi="Times New Roman" w:cs="Times New Roman"/>
                <w:b/>
                <w:bCs/>
              </w:rPr>
            </w:pPr>
            <w:r w:rsidRPr="002D6578">
              <w:rPr>
                <w:rFonts w:ascii="Times New Roman" w:hAnsi="Times New Roman" w:cs="Times New Roman"/>
                <w:b/>
                <w:bCs/>
              </w:rPr>
              <w:t>Use Category</w:t>
            </w:r>
          </w:p>
        </w:tc>
        <w:tc>
          <w:tcPr>
            <w:tcW w:w="4140" w:type="dxa"/>
            <w:tcBorders>
              <w:bottom w:val="single" w:sz="12" w:space="0" w:color="auto"/>
            </w:tcBorders>
            <w:vAlign w:val="center"/>
          </w:tcPr>
          <w:p w14:paraId="382C9D44" w14:textId="074DB7A7" w:rsidR="006A7ACF" w:rsidRPr="002D6578" w:rsidRDefault="006A7ACF" w:rsidP="00BE42DC">
            <w:pPr>
              <w:jc w:val="center"/>
              <w:rPr>
                <w:rFonts w:ascii="Times New Roman" w:hAnsi="Times New Roman" w:cs="Times New Roman"/>
                <w:b/>
                <w:bCs/>
              </w:rPr>
            </w:pPr>
            <w:r w:rsidRPr="002D6578">
              <w:rPr>
                <w:rFonts w:ascii="Times New Roman" w:hAnsi="Times New Roman" w:cs="Times New Roman"/>
                <w:b/>
                <w:bCs/>
              </w:rPr>
              <w:t>Minimum Spaces</w:t>
            </w:r>
          </w:p>
        </w:tc>
        <w:tc>
          <w:tcPr>
            <w:tcW w:w="2430" w:type="dxa"/>
            <w:tcBorders>
              <w:bottom w:val="single" w:sz="12" w:space="0" w:color="auto"/>
            </w:tcBorders>
            <w:vAlign w:val="center"/>
          </w:tcPr>
          <w:p w14:paraId="51619ECD" w14:textId="668EB974" w:rsidR="006A7ACF" w:rsidRPr="002D6578" w:rsidRDefault="006A7ACF" w:rsidP="006A7ACF">
            <w:pPr>
              <w:jc w:val="center"/>
              <w:rPr>
                <w:rFonts w:ascii="Times New Roman" w:hAnsi="Times New Roman" w:cs="Times New Roman"/>
                <w:b/>
                <w:bCs/>
              </w:rPr>
            </w:pPr>
            <w:r w:rsidRPr="002D6578">
              <w:rPr>
                <w:rFonts w:ascii="Times New Roman" w:hAnsi="Times New Roman" w:cs="Times New Roman"/>
                <w:b/>
                <w:bCs/>
              </w:rPr>
              <w:t>Maximum Spaces</w:t>
            </w:r>
          </w:p>
        </w:tc>
      </w:tr>
      <w:tr w:rsidR="006A7ACF" w:rsidRPr="002D6578" w14:paraId="7C633E24" w14:textId="2915F444" w:rsidTr="0053628C">
        <w:tc>
          <w:tcPr>
            <w:tcW w:w="3600" w:type="dxa"/>
            <w:tcBorders>
              <w:top w:val="single" w:sz="12" w:space="0" w:color="auto"/>
            </w:tcBorders>
            <w:vAlign w:val="center"/>
          </w:tcPr>
          <w:p w14:paraId="07FB9A91" w14:textId="402D90D0" w:rsidR="006A7ACF" w:rsidRPr="002D6578" w:rsidRDefault="006A7ACF" w:rsidP="00C66AD2">
            <w:pPr>
              <w:rPr>
                <w:rFonts w:ascii="Times New Roman" w:hAnsi="Times New Roman" w:cs="Times New Roman"/>
              </w:rPr>
            </w:pPr>
            <w:r w:rsidRPr="002D6578">
              <w:rPr>
                <w:rFonts w:ascii="Times New Roman" w:hAnsi="Times New Roman" w:cs="Times New Roman"/>
              </w:rPr>
              <w:t>Multi-family Dwelling</w:t>
            </w:r>
            <w:r w:rsidR="005275E6" w:rsidRPr="002D6578">
              <w:rPr>
                <w:rFonts w:ascii="Times New Roman" w:hAnsi="Times New Roman" w:cs="Times New Roman"/>
              </w:rPr>
              <w:t xml:space="preserve"> Units</w:t>
            </w:r>
          </w:p>
        </w:tc>
        <w:tc>
          <w:tcPr>
            <w:tcW w:w="4140" w:type="dxa"/>
            <w:tcBorders>
              <w:top w:val="single" w:sz="12" w:space="0" w:color="auto"/>
            </w:tcBorders>
            <w:vAlign w:val="center"/>
          </w:tcPr>
          <w:p w14:paraId="5A655463" w14:textId="126EEFD4" w:rsidR="006A7ACF" w:rsidRPr="002D6578" w:rsidRDefault="006A7ACF" w:rsidP="00C66AD2">
            <w:pPr>
              <w:rPr>
                <w:rFonts w:ascii="Times New Roman" w:hAnsi="Times New Roman" w:cs="Times New Roman"/>
              </w:rPr>
            </w:pPr>
            <w:r w:rsidRPr="002D6578">
              <w:rPr>
                <w:rFonts w:ascii="Times New Roman" w:hAnsi="Times New Roman" w:cs="Times New Roman"/>
              </w:rPr>
              <w:t>1.</w:t>
            </w:r>
            <w:r w:rsidR="00D64D7D" w:rsidRPr="002D6578">
              <w:rPr>
                <w:rFonts w:ascii="Times New Roman" w:hAnsi="Times New Roman" w:cs="Times New Roman"/>
              </w:rPr>
              <w:t>2</w:t>
            </w:r>
            <w:r w:rsidRPr="002D6578">
              <w:rPr>
                <w:rFonts w:ascii="Times New Roman" w:hAnsi="Times New Roman" w:cs="Times New Roman"/>
              </w:rPr>
              <w:t xml:space="preserve"> per dwelling unit</w:t>
            </w:r>
          </w:p>
        </w:tc>
        <w:tc>
          <w:tcPr>
            <w:tcW w:w="2430" w:type="dxa"/>
            <w:tcBorders>
              <w:top w:val="single" w:sz="12" w:space="0" w:color="auto"/>
            </w:tcBorders>
            <w:vAlign w:val="center"/>
          </w:tcPr>
          <w:p w14:paraId="4A48ADB8" w14:textId="1166F0B7" w:rsidR="006A7ACF" w:rsidRPr="002D6578" w:rsidRDefault="006A7ACF" w:rsidP="006A7ACF">
            <w:pPr>
              <w:jc w:val="center"/>
              <w:rPr>
                <w:rFonts w:ascii="Times New Roman" w:hAnsi="Times New Roman" w:cs="Times New Roman"/>
              </w:rPr>
            </w:pPr>
            <w:r w:rsidRPr="002D6578">
              <w:rPr>
                <w:rFonts w:ascii="Times New Roman" w:hAnsi="Times New Roman" w:cs="Times New Roman"/>
              </w:rPr>
              <w:t>No maximum</w:t>
            </w:r>
          </w:p>
        </w:tc>
      </w:tr>
      <w:tr w:rsidR="0053628C" w:rsidRPr="002D6578" w14:paraId="6AFEE143" w14:textId="77777777" w:rsidTr="0053628C">
        <w:tc>
          <w:tcPr>
            <w:tcW w:w="3600" w:type="dxa"/>
            <w:tcBorders>
              <w:top w:val="single" w:sz="12" w:space="0" w:color="auto"/>
            </w:tcBorders>
            <w:vAlign w:val="center"/>
          </w:tcPr>
          <w:p w14:paraId="1B2F93F3" w14:textId="466D9D6A" w:rsidR="0053628C" w:rsidRPr="002D6578" w:rsidRDefault="0053628C" w:rsidP="00C66AD2">
            <w:pPr>
              <w:rPr>
                <w:rFonts w:ascii="Times New Roman" w:hAnsi="Times New Roman" w:cs="Times New Roman"/>
              </w:rPr>
            </w:pPr>
            <w:r w:rsidRPr="002D6578">
              <w:rPr>
                <w:rFonts w:ascii="Times New Roman" w:hAnsi="Times New Roman" w:cs="Times New Roman"/>
              </w:rPr>
              <w:t>Apartments with</w:t>
            </w:r>
            <w:r w:rsidR="002A55C0" w:rsidRPr="002D6578">
              <w:rPr>
                <w:rFonts w:ascii="Times New Roman" w:hAnsi="Times New Roman" w:cs="Times New Roman"/>
              </w:rPr>
              <w:t xml:space="preserve"> Commercial Uses</w:t>
            </w:r>
            <w:r w:rsidRPr="002D6578">
              <w:rPr>
                <w:rFonts w:ascii="Times New Roman" w:hAnsi="Times New Roman" w:cs="Times New Roman"/>
              </w:rPr>
              <w:t xml:space="preserve">, Mixed Use Building </w:t>
            </w:r>
          </w:p>
        </w:tc>
        <w:tc>
          <w:tcPr>
            <w:tcW w:w="4140" w:type="dxa"/>
            <w:tcBorders>
              <w:top w:val="single" w:sz="12" w:space="0" w:color="auto"/>
            </w:tcBorders>
            <w:vAlign w:val="center"/>
          </w:tcPr>
          <w:p w14:paraId="0B4B9AC9" w14:textId="147A185C" w:rsidR="0053628C" w:rsidRPr="002D6578" w:rsidRDefault="0053628C" w:rsidP="00C66AD2">
            <w:pPr>
              <w:rPr>
                <w:rFonts w:ascii="Times New Roman" w:hAnsi="Times New Roman" w:cs="Times New Roman"/>
              </w:rPr>
            </w:pPr>
            <w:r w:rsidRPr="002D6578">
              <w:rPr>
                <w:rFonts w:ascii="Times New Roman" w:hAnsi="Times New Roman" w:cs="Times New Roman"/>
              </w:rPr>
              <w:t>Per each individual land use minus 2</w:t>
            </w:r>
            <w:r w:rsidR="002A55C0" w:rsidRPr="002D6578">
              <w:rPr>
                <w:rFonts w:ascii="Times New Roman" w:hAnsi="Times New Roman" w:cs="Times New Roman"/>
              </w:rPr>
              <w:t>0</w:t>
            </w:r>
            <w:r w:rsidRPr="002D6578">
              <w:rPr>
                <w:rFonts w:ascii="Times New Roman" w:hAnsi="Times New Roman" w:cs="Times New Roman"/>
              </w:rPr>
              <w:t>%</w:t>
            </w:r>
          </w:p>
        </w:tc>
        <w:tc>
          <w:tcPr>
            <w:tcW w:w="2430" w:type="dxa"/>
            <w:tcBorders>
              <w:top w:val="single" w:sz="12" w:space="0" w:color="auto"/>
            </w:tcBorders>
            <w:vAlign w:val="center"/>
          </w:tcPr>
          <w:p w14:paraId="6E7DCBC3" w14:textId="65E30E0C" w:rsidR="0053628C" w:rsidRPr="002D6578" w:rsidRDefault="00000322" w:rsidP="006A7ACF">
            <w:pPr>
              <w:jc w:val="center"/>
              <w:rPr>
                <w:rFonts w:ascii="Times New Roman" w:hAnsi="Times New Roman" w:cs="Times New Roman"/>
              </w:rPr>
            </w:pPr>
            <w:r w:rsidRPr="002D6578">
              <w:rPr>
                <w:rFonts w:ascii="Times New Roman" w:hAnsi="Times New Roman" w:cs="Times New Roman"/>
              </w:rPr>
              <w:t>Per each individual land use</w:t>
            </w:r>
          </w:p>
        </w:tc>
      </w:tr>
      <w:tr w:rsidR="006A7ACF" w:rsidRPr="002D6578" w14:paraId="56D00CAD" w14:textId="613D3D97" w:rsidTr="0053628C">
        <w:tc>
          <w:tcPr>
            <w:tcW w:w="3600" w:type="dxa"/>
            <w:vAlign w:val="center"/>
          </w:tcPr>
          <w:p w14:paraId="5A9D94CC" w14:textId="08046F77" w:rsidR="006A7ACF" w:rsidRPr="002D6578" w:rsidRDefault="006A7ACF" w:rsidP="00C66AD2">
            <w:pPr>
              <w:rPr>
                <w:rFonts w:ascii="Times New Roman" w:hAnsi="Times New Roman" w:cs="Times New Roman"/>
              </w:rPr>
            </w:pPr>
            <w:r w:rsidRPr="002D6578">
              <w:rPr>
                <w:rFonts w:ascii="Times New Roman" w:hAnsi="Times New Roman" w:cs="Times New Roman"/>
              </w:rPr>
              <w:t>Secondary and Elementary Schools</w:t>
            </w:r>
          </w:p>
        </w:tc>
        <w:tc>
          <w:tcPr>
            <w:tcW w:w="4140" w:type="dxa"/>
            <w:vAlign w:val="center"/>
          </w:tcPr>
          <w:p w14:paraId="6A6243CD" w14:textId="14F7DEEF" w:rsidR="006A7ACF" w:rsidRPr="002D6578" w:rsidRDefault="006A7ACF" w:rsidP="00C66AD2">
            <w:pPr>
              <w:rPr>
                <w:rFonts w:ascii="Times New Roman" w:hAnsi="Times New Roman" w:cs="Times New Roman"/>
              </w:rPr>
            </w:pPr>
            <w:r w:rsidRPr="002D6578">
              <w:rPr>
                <w:rFonts w:ascii="Times New Roman" w:hAnsi="Times New Roman" w:cs="Times New Roman"/>
              </w:rPr>
              <w:t xml:space="preserve">1 for each 2 employees plus a reasonable number of stalls for </w:t>
            </w:r>
            <w:proofErr w:type="gramStart"/>
            <w:r w:rsidRPr="002D6578">
              <w:rPr>
                <w:rFonts w:ascii="Times New Roman" w:hAnsi="Times New Roman" w:cs="Times New Roman"/>
              </w:rPr>
              <w:t>student</w:t>
            </w:r>
            <w:proofErr w:type="gramEnd"/>
            <w:r w:rsidRPr="002D6578">
              <w:rPr>
                <w:rFonts w:ascii="Times New Roman" w:hAnsi="Times New Roman" w:cs="Times New Roman"/>
              </w:rPr>
              <w:t xml:space="preserve"> and other parking</w:t>
            </w:r>
          </w:p>
        </w:tc>
        <w:tc>
          <w:tcPr>
            <w:tcW w:w="2430" w:type="dxa"/>
            <w:vAlign w:val="center"/>
          </w:tcPr>
          <w:p w14:paraId="0570AA38" w14:textId="0A9D15A1" w:rsidR="006A7ACF" w:rsidRPr="002D6578" w:rsidRDefault="006A7ACF" w:rsidP="006A7ACF">
            <w:pPr>
              <w:jc w:val="center"/>
              <w:rPr>
                <w:rFonts w:ascii="Times New Roman" w:hAnsi="Times New Roman" w:cs="Times New Roman"/>
              </w:rPr>
            </w:pPr>
            <w:r w:rsidRPr="002D6578">
              <w:rPr>
                <w:rFonts w:ascii="Times New Roman" w:hAnsi="Times New Roman" w:cs="Times New Roman"/>
              </w:rPr>
              <w:t>No maximum</w:t>
            </w:r>
          </w:p>
        </w:tc>
      </w:tr>
      <w:tr w:rsidR="006A7ACF" w:rsidRPr="002D6578" w14:paraId="182729DF" w14:textId="4E3ECA16" w:rsidTr="0053628C">
        <w:tc>
          <w:tcPr>
            <w:tcW w:w="3600" w:type="dxa"/>
            <w:vAlign w:val="center"/>
          </w:tcPr>
          <w:p w14:paraId="068336B2" w14:textId="43597F39" w:rsidR="006A7ACF" w:rsidRPr="002D6578" w:rsidRDefault="006A7ACF" w:rsidP="00C66AD2">
            <w:pPr>
              <w:rPr>
                <w:rFonts w:ascii="Times New Roman" w:hAnsi="Times New Roman" w:cs="Times New Roman"/>
              </w:rPr>
            </w:pPr>
            <w:r w:rsidRPr="002D6578">
              <w:rPr>
                <w:rFonts w:ascii="Times New Roman" w:hAnsi="Times New Roman" w:cs="Times New Roman"/>
              </w:rPr>
              <w:t>Rest Homes, Nursing Homes</w:t>
            </w:r>
          </w:p>
        </w:tc>
        <w:tc>
          <w:tcPr>
            <w:tcW w:w="4140" w:type="dxa"/>
            <w:vAlign w:val="center"/>
          </w:tcPr>
          <w:p w14:paraId="72D60914" w14:textId="3335FA35" w:rsidR="006A7ACF" w:rsidRPr="002D6578" w:rsidRDefault="006A7ACF" w:rsidP="00C66AD2">
            <w:pPr>
              <w:rPr>
                <w:rFonts w:ascii="Times New Roman" w:hAnsi="Times New Roman" w:cs="Times New Roman"/>
              </w:rPr>
            </w:pPr>
            <w:r w:rsidRPr="002D6578">
              <w:rPr>
                <w:rFonts w:ascii="Times New Roman" w:hAnsi="Times New Roman" w:cs="Times New Roman"/>
              </w:rPr>
              <w:t>1 per 5 beds plus 1 per 3 employees</w:t>
            </w:r>
            <w:r w:rsidR="00D64D7D" w:rsidRPr="002D6578">
              <w:rPr>
                <w:rFonts w:ascii="Times New Roman" w:hAnsi="Times New Roman" w:cs="Times New Roman"/>
              </w:rPr>
              <w:t xml:space="preserve"> </w:t>
            </w:r>
          </w:p>
        </w:tc>
        <w:tc>
          <w:tcPr>
            <w:tcW w:w="2430" w:type="dxa"/>
            <w:vAlign w:val="center"/>
          </w:tcPr>
          <w:p w14:paraId="59DB7A1E" w14:textId="353B0DEC" w:rsidR="006A7ACF" w:rsidRPr="002D6578" w:rsidRDefault="006A7ACF" w:rsidP="006A7ACF">
            <w:pPr>
              <w:jc w:val="center"/>
              <w:rPr>
                <w:rFonts w:ascii="Times New Roman" w:hAnsi="Times New Roman" w:cs="Times New Roman"/>
              </w:rPr>
            </w:pPr>
            <w:r w:rsidRPr="002D6578">
              <w:rPr>
                <w:rFonts w:ascii="Times New Roman" w:hAnsi="Times New Roman" w:cs="Times New Roman"/>
              </w:rPr>
              <w:t>No maximum</w:t>
            </w:r>
          </w:p>
        </w:tc>
      </w:tr>
      <w:tr w:rsidR="00D64D7D" w:rsidRPr="002D6578" w14:paraId="794717D9" w14:textId="77777777" w:rsidTr="0053628C">
        <w:tc>
          <w:tcPr>
            <w:tcW w:w="3600" w:type="dxa"/>
            <w:vAlign w:val="center"/>
          </w:tcPr>
          <w:p w14:paraId="5E47A87D" w14:textId="5B9DE146" w:rsidR="00D64D7D" w:rsidRPr="002D6578" w:rsidRDefault="00973F15" w:rsidP="00C66AD2">
            <w:pPr>
              <w:rPr>
                <w:rFonts w:ascii="Times New Roman" w:hAnsi="Times New Roman" w:cs="Times New Roman"/>
              </w:rPr>
            </w:pPr>
            <w:r w:rsidRPr="002D6578">
              <w:rPr>
                <w:rFonts w:ascii="Times New Roman" w:hAnsi="Times New Roman" w:cs="Times New Roman"/>
              </w:rPr>
              <w:t xml:space="preserve">Senior housing </w:t>
            </w:r>
          </w:p>
        </w:tc>
        <w:tc>
          <w:tcPr>
            <w:tcW w:w="4140" w:type="dxa"/>
            <w:vAlign w:val="center"/>
          </w:tcPr>
          <w:p w14:paraId="7E17ADE1" w14:textId="65A9EF98" w:rsidR="00D64D7D" w:rsidRPr="002D6578" w:rsidRDefault="00973F15" w:rsidP="00C66AD2">
            <w:pPr>
              <w:rPr>
                <w:rFonts w:ascii="Times New Roman" w:hAnsi="Times New Roman" w:cs="Times New Roman"/>
              </w:rPr>
            </w:pPr>
            <w:r w:rsidRPr="002D6578">
              <w:rPr>
                <w:rFonts w:ascii="Times New Roman" w:hAnsi="Times New Roman" w:cs="Times New Roman"/>
              </w:rPr>
              <w:t>1 per dwelling unit</w:t>
            </w:r>
          </w:p>
        </w:tc>
        <w:tc>
          <w:tcPr>
            <w:tcW w:w="2430" w:type="dxa"/>
            <w:vAlign w:val="center"/>
          </w:tcPr>
          <w:p w14:paraId="6D769536" w14:textId="4C16366C" w:rsidR="00D64D7D" w:rsidRPr="002D6578" w:rsidRDefault="002A55C0" w:rsidP="006A7ACF">
            <w:pPr>
              <w:jc w:val="center"/>
              <w:rPr>
                <w:rFonts w:ascii="Times New Roman" w:hAnsi="Times New Roman" w:cs="Times New Roman"/>
              </w:rPr>
            </w:pPr>
            <w:r w:rsidRPr="002D6578">
              <w:rPr>
                <w:rFonts w:ascii="Times New Roman" w:hAnsi="Times New Roman" w:cs="Times New Roman"/>
              </w:rPr>
              <w:t>No maximum</w:t>
            </w:r>
          </w:p>
        </w:tc>
      </w:tr>
      <w:tr w:rsidR="006A7ACF" w:rsidRPr="002D6578" w14:paraId="366E947A" w14:textId="53E8BFB7" w:rsidTr="0053628C">
        <w:tc>
          <w:tcPr>
            <w:tcW w:w="3600" w:type="dxa"/>
            <w:vAlign w:val="center"/>
          </w:tcPr>
          <w:p w14:paraId="313A1429" w14:textId="31F59D65" w:rsidR="006A7ACF" w:rsidRPr="002D6578" w:rsidRDefault="006A7ACF" w:rsidP="00C66AD2">
            <w:pPr>
              <w:rPr>
                <w:rFonts w:ascii="Times New Roman" w:hAnsi="Times New Roman" w:cs="Times New Roman"/>
              </w:rPr>
            </w:pPr>
            <w:r w:rsidRPr="002D6578">
              <w:rPr>
                <w:rFonts w:ascii="Times New Roman" w:hAnsi="Times New Roman" w:cs="Times New Roman"/>
              </w:rPr>
              <w:t>Churches, Theatres, Auditoriums, Community Centers, and Other Places of Public Assembly</w:t>
            </w:r>
          </w:p>
        </w:tc>
        <w:tc>
          <w:tcPr>
            <w:tcW w:w="4140" w:type="dxa"/>
            <w:vAlign w:val="center"/>
          </w:tcPr>
          <w:p w14:paraId="1C2444C2" w14:textId="272FBC19" w:rsidR="006A7ACF" w:rsidRPr="002D6578" w:rsidRDefault="006A7ACF" w:rsidP="00C66AD2">
            <w:pPr>
              <w:rPr>
                <w:rFonts w:ascii="Times New Roman" w:hAnsi="Times New Roman" w:cs="Times New Roman"/>
              </w:rPr>
            </w:pPr>
            <w:r w:rsidRPr="002D6578">
              <w:rPr>
                <w:rFonts w:ascii="Times New Roman" w:hAnsi="Times New Roman" w:cs="Times New Roman"/>
              </w:rPr>
              <w:t>1 per 5 seats</w:t>
            </w:r>
          </w:p>
        </w:tc>
        <w:tc>
          <w:tcPr>
            <w:tcW w:w="2430" w:type="dxa"/>
            <w:vAlign w:val="center"/>
          </w:tcPr>
          <w:p w14:paraId="230FC21F" w14:textId="7DF45523" w:rsidR="006A7ACF" w:rsidRPr="002D6578" w:rsidRDefault="006A7ACF" w:rsidP="006A7ACF">
            <w:pPr>
              <w:jc w:val="center"/>
              <w:rPr>
                <w:rFonts w:ascii="Times New Roman" w:hAnsi="Times New Roman" w:cs="Times New Roman"/>
              </w:rPr>
            </w:pPr>
            <w:r w:rsidRPr="002D6578">
              <w:rPr>
                <w:rFonts w:ascii="Times New Roman" w:hAnsi="Times New Roman" w:cs="Times New Roman"/>
              </w:rPr>
              <w:t>No maximum</w:t>
            </w:r>
          </w:p>
        </w:tc>
      </w:tr>
      <w:tr w:rsidR="006A7ACF" w:rsidRPr="002D6578" w14:paraId="32612F5D" w14:textId="77777777" w:rsidTr="0053628C">
        <w:tc>
          <w:tcPr>
            <w:tcW w:w="3600" w:type="dxa"/>
            <w:vAlign w:val="center"/>
          </w:tcPr>
          <w:p w14:paraId="5070BC56" w14:textId="771C482E" w:rsidR="006A7ACF" w:rsidRPr="002D6578" w:rsidRDefault="006A7ACF" w:rsidP="006A7ACF">
            <w:pPr>
              <w:rPr>
                <w:rFonts w:ascii="Times New Roman" w:hAnsi="Times New Roman" w:cs="Times New Roman"/>
              </w:rPr>
            </w:pPr>
            <w:r w:rsidRPr="002D6578">
              <w:rPr>
                <w:rFonts w:ascii="Times New Roman" w:hAnsi="Times New Roman" w:cs="Times New Roman"/>
              </w:rPr>
              <w:t>Retail sales</w:t>
            </w:r>
          </w:p>
        </w:tc>
        <w:tc>
          <w:tcPr>
            <w:tcW w:w="4140" w:type="dxa"/>
            <w:vAlign w:val="center"/>
          </w:tcPr>
          <w:p w14:paraId="0FF60916" w14:textId="130A0D97" w:rsidR="006A7ACF" w:rsidRPr="002D6578" w:rsidRDefault="006A7ACF" w:rsidP="006A7ACF">
            <w:pPr>
              <w:rPr>
                <w:rFonts w:ascii="Times New Roman" w:hAnsi="Times New Roman" w:cs="Times New Roman"/>
              </w:rPr>
            </w:pPr>
            <w:r w:rsidRPr="002D6578">
              <w:rPr>
                <w:rFonts w:ascii="Times New Roman" w:hAnsi="Times New Roman" w:cs="Times New Roman"/>
              </w:rPr>
              <w:t>1 per 1,000 square feet of floor area</w:t>
            </w:r>
          </w:p>
        </w:tc>
        <w:tc>
          <w:tcPr>
            <w:tcW w:w="2430" w:type="dxa"/>
            <w:vAlign w:val="center"/>
          </w:tcPr>
          <w:p w14:paraId="6CC73C4C" w14:textId="03B81D85" w:rsidR="006A7ACF" w:rsidRPr="002D6578" w:rsidRDefault="006A7ACF" w:rsidP="006A7ACF">
            <w:pPr>
              <w:jc w:val="center"/>
              <w:rPr>
                <w:rFonts w:ascii="Times New Roman" w:hAnsi="Times New Roman" w:cs="Times New Roman"/>
              </w:rPr>
            </w:pPr>
            <w:r w:rsidRPr="002D6578">
              <w:rPr>
                <w:rFonts w:ascii="Times New Roman" w:hAnsi="Times New Roman" w:cs="Times New Roman"/>
              </w:rPr>
              <w:t>5 per 1,000 square feet of floor area</w:t>
            </w:r>
          </w:p>
        </w:tc>
      </w:tr>
      <w:tr w:rsidR="006A7ACF" w:rsidRPr="002D6578" w14:paraId="587290C6" w14:textId="2E96F5A8" w:rsidTr="0053628C">
        <w:tc>
          <w:tcPr>
            <w:tcW w:w="3600" w:type="dxa"/>
            <w:vAlign w:val="center"/>
          </w:tcPr>
          <w:p w14:paraId="393F2525" w14:textId="260AB9A9" w:rsidR="006A7ACF" w:rsidRPr="002D6578" w:rsidRDefault="006A7ACF" w:rsidP="006A7ACF">
            <w:pPr>
              <w:rPr>
                <w:rFonts w:ascii="Times New Roman" w:hAnsi="Times New Roman" w:cs="Times New Roman"/>
              </w:rPr>
            </w:pPr>
            <w:r w:rsidRPr="002D6578">
              <w:rPr>
                <w:rFonts w:ascii="Times New Roman" w:hAnsi="Times New Roman" w:cs="Times New Roman"/>
              </w:rPr>
              <w:t>Restaurants, Bars, Places of Entertainment, and Service Stores</w:t>
            </w:r>
          </w:p>
        </w:tc>
        <w:tc>
          <w:tcPr>
            <w:tcW w:w="4140" w:type="dxa"/>
            <w:vAlign w:val="center"/>
          </w:tcPr>
          <w:p w14:paraId="4680DB86" w14:textId="1571E3F6" w:rsidR="006A7ACF" w:rsidRPr="002D6578" w:rsidRDefault="006A7ACF" w:rsidP="006A7ACF">
            <w:pPr>
              <w:rPr>
                <w:rFonts w:ascii="Times New Roman" w:hAnsi="Times New Roman" w:cs="Times New Roman"/>
              </w:rPr>
            </w:pPr>
            <w:r w:rsidRPr="002D6578">
              <w:rPr>
                <w:rFonts w:ascii="Times New Roman" w:hAnsi="Times New Roman" w:cs="Times New Roman"/>
              </w:rPr>
              <w:t>Same as retail sales</w:t>
            </w:r>
          </w:p>
        </w:tc>
        <w:tc>
          <w:tcPr>
            <w:tcW w:w="2430" w:type="dxa"/>
            <w:vAlign w:val="center"/>
          </w:tcPr>
          <w:p w14:paraId="705AF210" w14:textId="2FA04C19" w:rsidR="006A7ACF" w:rsidRPr="002D6578" w:rsidRDefault="006A7ACF" w:rsidP="006A7ACF">
            <w:pPr>
              <w:jc w:val="center"/>
              <w:rPr>
                <w:rFonts w:ascii="Times New Roman" w:hAnsi="Times New Roman" w:cs="Times New Roman"/>
              </w:rPr>
            </w:pPr>
            <w:r w:rsidRPr="002D6578">
              <w:rPr>
                <w:rFonts w:ascii="Times New Roman" w:hAnsi="Times New Roman" w:cs="Times New Roman"/>
              </w:rPr>
              <w:t>No maximum</w:t>
            </w:r>
          </w:p>
        </w:tc>
      </w:tr>
      <w:tr w:rsidR="006A7ACF" w:rsidRPr="002D6578" w14:paraId="57C91004" w14:textId="77777777" w:rsidTr="0053628C">
        <w:tc>
          <w:tcPr>
            <w:tcW w:w="3600" w:type="dxa"/>
            <w:vAlign w:val="center"/>
          </w:tcPr>
          <w:p w14:paraId="3E25F28D" w14:textId="06721BB2" w:rsidR="006A7ACF" w:rsidRPr="002D6578" w:rsidRDefault="006A7ACF" w:rsidP="006A7ACF">
            <w:pPr>
              <w:rPr>
                <w:rFonts w:ascii="Times New Roman" w:hAnsi="Times New Roman" w:cs="Times New Roman"/>
              </w:rPr>
            </w:pPr>
            <w:r w:rsidRPr="002D6578">
              <w:rPr>
                <w:rFonts w:ascii="Times New Roman" w:hAnsi="Times New Roman" w:cs="Times New Roman"/>
              </w:rPr>
              <w:t>Professional Offices</w:t>
            </w:r>
            <w:r w:rsidR="00A249DE" w:rsidRPr="002D6578">
              <w:rPr>
                <w:rFonts w:ascii="Times New Roman" w:hAnsi="Times New Roman" w:cs="Times New Roman"/>
              </w:rPr>
              <w:t>, Financial Institutions, Business, and Governmental</w:t>
            </w:r>
          </w:p>
        </w:tc>
        <w:tc>
          <w:tcPr>
            <w:tcW w:w="4140" w:type="dxa"/>
            <w:vAlign w:val="center"/>
          </w:tcPr>
          <w:p w14:paraId="50D6EAD5" w14:textId="2AC4C8D6" w:rsidR="006A7ACF" w:rsidRPr="002D6578" w:rsidRDefault="006A7ACF" w:rsidP="006A7ACF">
            <w:pPr>
              <w:rPr>
                <w:rFonts w:ascii="Times New Roman" w:hAnsi="Times New Roman" w:cs="Times New Roman"/>
              </w:rPr>
            </w:pPr>
            <w:r w:rsidRPr="002D6578">
              <w:rPr>
                <w:rFonts w:ascii="Times New Roman" w:hAnsi="Times New Roman" w:cs="Times New Roman"/>
              </w:rPr>
              <w:t xml:space="preserve">1 per 500 feet for first </w:t>
            </w:r>
            <w:r w:rsidR="00000322" w:rsidRPr="002D6578">
              <w:rPr>
                <w:rFonts w:ascii="Times New Roman" w:hAnsi="Times New Roman" w:cs="Times New Roman"/>
              </w:rPr>
              <w:t>2</w:t>
            </w:r>
            <w:r w:rsidRPr="002D6578">
              <w:rPr>
                <w:rFonts w:ascii="Times New Roman" w:hAnsi="Times New Roman" w:cs="Times New Roman"/>
              </w:rPr>
              <w:t xml:space="preserve">,000 square feet of floor area, plus 1 per 1,000 square feet of floor area </w:t>
            </w:r>
            <w:proofErr w:type="gramStart"/>
            <w:r w:rsidRPr="002D6578">
              <w:rPr>
                <w:rFonts w:ascii="Times New Roman" w:hAnsi="Times New Roman" w:cs="Times New Roman"/>
              </w:rPr>
              <w:t>in excess of</w:t>
            </w:r>
            <w:proofErr w:type="gramEnd"/>
            <w:r w:rsidRPr="002D6578">
              <w:rPr>
                <w:rFonts w:ascii="Times New Roman" w:hAnsi="Times New Roman" w:cs="Times New Roman"/>
              </w:rPr>
              <w:t xml:space="preserve"> </w:t>
            </w:r>
            <w:r w:rsidR="00000322" w:rsidRPr="002D6578">
              <w:rPr>
                <w:rFonts w:ascii="Times New Roman" w:hAnsi="Times New Roman" w:cs="Times New Roman"/>
              </w:rPr>
              <w:t>2</w:t>
            </w:r>
            <w:r w:rsidRPr="002D6578">
              <w:rPr>
                <w:rFonts w:ascii="Times New Roman" w:hAnsi="Times New Roman" w:cs="Times New Roman"/>
              </w:rPr>
              <w:t>,000 square feet.</w:t>
            </w:r>
          </w:p>
        </w:tc>
        <w:tc>
          <w:tcPr>
            <w:tcW w:w="2430" w:type="dxa"/>
            <w:vAlign w:val="center"/>
          </w:tcPr>
          <w:p w14:paraId="5FFBBE86" w14:textId="00D4777E" w:rsidR="006A7ACF" w:rsidRPr="002D6578" w:rsidRDefault="006A7ACF" w:rsidP="006A7ACF">
            <w:pPr>
              <w:jc w:val="center"/>
              <w:rPr>
                <w:rFonts w:ascii="Times New Roman" w:hAnsi="Times New Roman" w:cs="Times New Roman"/>
              </w:rPr>
            </w:pPr>
            <w:r w:rsidRPr="002D6578">
              <w:rPr>
                <w:rFonts w:ascii="Times New Roman" w:hAnsi="Times New Roman" w:cs="Times New Roman"/>
              </w:rPr>
              <w:t>4 per 1,000 square feet of floor area</w:t>
            </w:r>
          </w:p>
        </w:tc>
      </w:tr>
    </w:tbl>
    <w:p w14:paraId="37C1CC12" w14:textId="77777777" w:rsidR="00000322" w:rsidRPr="002D6578" w:rsidRDefault="00000322" w:rsidP="00000322">
      <w:pPr>
        <w:pStyle w:val="ListParagraph"/>
        <w:ind w:left="1440"/>
        <w:rPr>
          <w:rFonts w:ascii="Times New Roman" w:hAnsi="Times New Roman" w:cs="Times New Roman"/>
          <w:b/>
          <w:bCs/>
        </w:rPr>
      </w:pPr>
    </w:p>
    <w:p w14:paraId="4ABB3082" w14:textId="24A309C3" w:rsidR="00877EFC" w:rsidRPr="002D6578" w:rsidRDefault="0053628C" w:rsidP="00241C5F">
      <w:pPr>
        <w:pStyle w:val="ListParagraph"/>
        <w:numPr>
          <w:ilvl w:val="0"/>
          <w:numId w:val="8"/>
        </w:numPr>
        <w:ind w:left="1440" w:hanging="720"/>
        <w:rPr>
          <w:rFonts w:ascii="Times New Roman" w:hAnsi="Times New Roman" w:cs="Times New Roman"/>
        </w:rPr>
      </w:pPr>
      <w:r w:rsidRPr="002D6578">
        <w:rPr>
          <w:rFonts w:ascii="Times New Roman" w:hAnsi="Times New Roman" w:cs="Times New Roman"/>
          <w:b/>
          <w:bCs/>
        </w:rPr>
        <w:t xml:space="preserve">Parking requirement </w:t>
      </w:r>
      <w:r w:rsidR="00000322" w:rsidRPr="002D6578">
        <w:rPr>
          <w:rFonts w:ascii="Times New Roman" w:hAnsi="Times New Roman" w:cs="Times New Roman"/>
          <w:b/>
          <w:bCs/>
        </w:rPr>
        <w:t>reduced.</w:t>
      </w:r>
      <w:r w:rsidR="00877EFC" w:rsidRPr="002D6578">
        <w:rPr>
          <w:rFonts w:ascii="Times New Roman" w:hAnsi="Times New Roman" w:cs="Times New Roman"/>
          <w:b/>
          <w:bCs/>
        </w:rPr>
        <w:t xml:space="preserve"> </w:t>
      </w:r>
      <w:r w:rsidR="00877EFC" w:rsidRPr="002D6578">
        <w:rPr>
          <w:rFonts w:ascii="Times New Roman" w:hAnsi="Times New Roman" w:cs="Times New Roman"/>
        </w:rPr>
        <w:t>A reduction of minimum parking space requirements may be requested by the applicant upon the submittal of a</w:t>
      </w:r>
      <w:r w:rsidR="00F14430" w:rsidRPr="002D6578">
        <w:rPr>
          <w:rFonts w:ascii="Times New Roman" w:hAnsi="Times New Roman" w:cs="Times New Roman"/>
        </w:rPr>
        <w:t xml:space="preserve"> </w:t>
      </w:r>
      <w:r w:rsidR="00877EFC" w:rsidRPr="002D6578">
        <w:rPr>
          <w:rFonts w:ascii="Times New Roman" w:hAnsi="Times New Roman" w:cs="Times New Roman"/>
        </w:rPr>
        <w:t>parking demand study.</w:t>
      </w:r>
      <w:r w:rsidR="00877EFC" w:rsidRPr="002D6578">
        <w:rPr>
          <w:rFonts w:ascii="Times New Roman" w:hAnsi="Times New Roman" w:cs="Times New Roman"/>
          <w:b/>
          <w:bCs/>
        </w:rPr>
        <w:t xml:space="preserve"> </w:t>
      </w:r>
      <w:r w:rsidR="00877EFC" w:rsidRPr="002D6578">
        <w:rPr>
          <w:rFonts w:ascii="Times New Roman" w:hAnsi="Times New Roman" w:cs="Times New Roman"/>
        </w:rPr>
        <w:t>The study must include:</w:t>
      </w:r>
    </w:p>
    <w:p w14:paraId="614A06B5" w14:textId="66A58BFA" w:rsidR="00877EFC" w:rsidRPr="002D6578" w:rsidRDefault="00877EFC" w:rsidP="00877EFC">
      <w:pPr>
        <w:pStyle w:val="ListParagraph"/>
        <w:numPr>
          <w:ilvl w:val="1"/>
          <w:numId w:val="8"/>
        </w:numPr>
        <w:rPr>
          <w:rFonts w:ascii="Times New Roman" w:hAnsi="Times New Roman" w:cs="Times New Roman"/>
        </w:rPr>
      </w:pPr>
      <w:r w:rsidRPr="002D6578">
        <w:rPr>
          <w:rFonts w:ascii="Times New Roman" w:hAnsi="Times New Roman" w:cs="Times New Roman"/>
        </w:rPr>
        <w:t xml:space="preserve">Operational characteristics by land use or building type such as but not limited to days and hours of operation, operational peak hours, expected maximum </w:t>
      </w:r>
      <w:r w:rsidRPr="002D6578">
        <w:rPr>
          <w:rFonts w:ascii="Times New Roman" w:hAnsi="Times New Roman" w:cs="Times New Roman"/>
        </w:rPr>
        <w:lastRenderedPageBreak/>
        <w:t>occupancy of residents, employees, or visitors and any other information necessary to determine the amount of parking stalls necessary for the building and use. Maximum occupancy for residential uses other than those listed in the parking supply schedule must include number of units, bedrooms per unit, and anticipated guest or management staff and resident population, limited to those who are expected to have vehicles needing parking.</w:t>
      </w:r>
    </w:p>
    <w:p w14:paraId="7E59ABCB" w14:textId="723A6192" w:rsidR="00877EFC" w:rsidRPr="002D6578" w:rsidRDefault="00F14430" w:rsidP="00877EFC">
      <w:pPr>
        <w:pStyle w:val="ListParagraph"/>
        <w:numPr>
          <w:ilvl w:val="1"/>
          <w:numId w:val="8"/>
        </w:numPr>
        <w:rPr>
          <w:rFonts w:ascii="Times New Roman" w:hAnsi="Times New Roman" w:cs="Times New Roman"/>
        </w:rPr>
      </w:pPr>
      <w:r w:rsidRPr="002D6578">
        <w:rPr>
          <w:rFonts w:ascii="Times New Roman" w:hAnsi="Times New Roman" w:cs="Times New Roman"/>
        </w:rPr>
        <w:t>Indicat</w:t>
      </w:r>
      <w:r w:rsidR="009A0825" w:rsidRPr="002D6578">
        <w:rPr>
          <w:rFonts w:ascii="Times New Roman" w:hAnsi="Times New Roman" w:cs="Times New Roman"/>
        </w:rPr>
        <w:t>ion of</w:t>
      </w:r>
      <w:r w:rsidRPr="002D6578">
        <w:rPr>
          <w:rFonts w:ascii="Times New Roman" w:hAnsi="Times New Roman" w:cs="Times New Roman"/>
        </w:rPr>
        <w:t xml:space="preserve"> the necessary parking supply by a unit of measure such as by square feet of floor area, number of occupants established by occupancy limits, or other applicable unit as recommended by the sources relied on to generate the proposal. Cite sources used to calculate parking supply needs such as the Urban Land Institute or Parking Generation Manual of the Institute of Transportation Engineers, latest edition.</w:t>
      </w:r>
    </w:p>
    <w:p w14:paraId="474E5AD5" w14:textId="2EDCF54E" w:rsidR="00F14430" w:rsidRPr="002D6578" w:rsidRDefault="00F14430" w:rsidP="00877EFC">
      <w:pPr>
        <w:pStyle w:val="ListParagraph"/>
        <w:numPr>
          <w:ilvl w:val="1"/>
          <w:numId w:val="8"/>
        </w:numPr>
        <w:rPr>
          <w:rFonts w:ascii="Times New Roman" w:hAnsi="Times New Roman" w:cs="Times New Roman"/>
        </w:rPr>
      </w:pPr>
      <w:r w:rsidRPr="002D6578">
        <w:rPr>
          <w:rFonts w:ascii="Times New Roman" w:hAnsi="Times New Roman" w:cs="Times New Roman"/>
        </w:rPr>
        <w:t xml:space="preserve">Alternatively, </w:t>
      </w:r>
      <w:r w:rsidR="009A0825" w:rsidRPr="002D6578">
        <w:rPr>
          <w:rFonts w:ascii="Times New Roman" w:hAnsi="Times New Roman" w:cs="Times New Roman"/>
        </w:rPr>
        <w:t>a citation of</w:t>
      </w:r>
      <w:r w:rsidRPr="002D6578">
        <w:rPr>
          <w:rFonts w:ascii="Times New Roman" w:hAnsi="Times New Roman" w:cs="Times New Roman"/>
        </w:rPr>
        <w:t xml:space="preserve"> comparable land use types or recent studies that are located within</w:t>
      </w:r>
      <w:r w:rsidR="009A0825" w:rsidRPr="002D6578">
        <w:rPr>
          <w:rFonts w:ascii="Times New Roman" w:hAnsi="Times New Roman" w:cs="Times New Roman"/>
        </w:rPr>
        <w:t xml:space="preserve"> similar communities</w:t>
      </w:r>
      <w:r w:rsidRPr="002D6578">
        <w:rPr>
          <w:rFonts w:ascii="Times New Roman" w:hAnsi="Times New Roman" w:cs="Times New Roman"/>
        </w:rPr>
        <w:t xml:space="preserve">. Identify </w:t>
      </w:r>
      <w:proofErr w:type="gramStart"/>
      <w:r w:rsidRPr="002D6578">
        <w:rPr>
          <w:rFonts w:ascii="Times New Roman" w:hAnsi="Times New Roman" w:cs="Times New Roman"/>
        </w:rPr>
        <w:t>author</w:t>
      </w:r>
      <w:proofErr w:type="gramEnd"/>
      <w:r w:rsidRPr="002D6578">
        <w:rPr>
          <w:rFonts w:ascii="Times New Roman" w:hAnsi="Times New Roman" w:cs="Times New Roman"/>
        </w:rPr>
        <w:t xml:space="preserve"> of study, their credentials, location of precedents, and contact information for the community representatives where the parking was located. Applicants may use studies or information from their own operations in other jurisdictions if the information required here is provided.</w:t>
      </w:r>
    </w:p>
    <w:p w14:paraId="4DC3B174" w14:textId="595DA21F" w:rsidR="00241C5F" w:rsidRPr="002D6578" w:rsidRDefault="00E104B5" w:rsidP="00241C5F">
      <w:pPr>
        <w:pStyle w:val="ListParagraph"/>
        <w:numPr>
          <w:ilvl w:val="0"/>
          <w:numId w:val="8"/>
        </w:numPr>
        <w:ind w:left="1440" w:hanging="720"/>
        <w:rPr>
          <w:rFonts w:ascii="Times New Roman" w:hAnsi="Times New Roman" w:cs="Times New Roman"/>
          <w:b/>
          <w:bCs/>
        </w:rPr>
      </w:pPr>
      <w:r w:rsidRPr="002D6578">
        <w:rPr>
          <w:rFonts w:ascii="Times New Roman" w:hAnsi="Times New Roman" w:cs="Times New Roman"/>
          <w:b/>
          <w:bCs/>
        </w:rPr>
        <w:t xml:space="preserve">Surfacing. </w:t>
      </w:r>
      <w:r w:rsidRPr="002D6578">
        <w:rPr>
          <w:rFonts w:ascii="Times New Roman" w:hAnsi="Times New Roman" w:cs="Times New Roman"/>
        </w:rPr>
        <w:t>All off-street parking areas</w:t>
      </w:r>
      <w:r w:rsidR="003311BA" w:rsidRPr="002D6578">
        <w:rPr>
          <w:rFonts w:ascii="Times New Roman" w:hAnsi="Times New Roman" w:cs="Times New Roman"/>
        </w:rPr>
        <w:t>, loading areas,</w:t>
      </w:r>
      <w:r w:rsidRPr="002D6578">
        <w:rPr>
          <w:rFonts w:ascii="Times New Roman" w:hAnsi="Times New Roman" w:cs="Times New Roman"/>
        </w:rPr>
        <w:t xml:space="preserve"> and access drives</w:t>
      </w:r>
      <w:r w:rsidR="003311BA" w:rsidRPr="002D6578">
        <w:rPr>
          <w:rFonts w:ascii="Times New Roman" w:hAnsi="Times New Roman" w:cs="Times New Roman"/>
        </w:rPr>
        <w:t xml:space="preserve"> shall be surfaced with concrete</w:t>
      </w:r>
      <w:r w:rsidR="00BD6E51" w:rsidRPr="002D6578">
        <w:rPr>
          <w:rFonts w:ascii="Times New Roman" w:hAnsi="Times New Roman" w:cs="Times New Roman"/>
        </w:rPr>
        <w:t>,</w:t>
      </w:r>
      <w:r w:rsidR="003311BA" w:rsidRPr="002D6578">
        <w:rPr>
          <w:rFonts w:ascii="Times New Roman" w:hAnsi="Times New Roman" w:cs="Times New Roman"/>
        </w:rPr>
        <w:t xml:space="preserve"> asphalt, </w:t>
      </w:r>
      <w:r w:rsidR="00BD6E51" w:rsidRPr="002D6578">
        <w:rPr>
          <w:rFonts w:ascii="Times New Roman" w:hAnsi="Times New Roman" w:cs="Times New Roman"/>
        </w:rPr>
        <w:t>permeable pavers, porous concrete, or other hard, dust-free surface approved by the Village Engineer and Public Services Director. Paved areas shall be</w:t>
      </w:r>
      <w:r w:rsidR="003311BA" w:rsidRPr="002D6578">
        <w:rPr>
          <w:rFonts w:ascii="Times New Roman" w:hAnsi="Times New Roman" w:cs="Times New Roman"/>
        </w:rPr>
        <w:t xml:space="preserve"> maintained free of weeds, invasive species, dust, trash, and debris.</w:t>
      </w:r>
      <w:r w:rsidR="005275E6" w:rsidRPr="002D6578">
        <w:rPr>
          <w:rFonts w:ascii="Times New Roman" w:hAnsi="Times New Roman" w:cs="Times New Roman"/>
        </w:rPr>
        <w:t xml:space="preserve"> Crushed </w:t>
      </w:r>
      <w:proofErr w:type="gramStart"/>
      <w:r w:rsidR="005275E6" w:rsidRPr="002D6578">
        <w:rPr>
          <w:rFonts w:ascii="Times New Roman" w:hAnsi="Times New Roman" w:cs="Times New Roman"/>
        </w:rPr>
        <w:t>stone</w:t>
      </w:r>
      <w:proofErr w:type="gramEnd"/>
      <w:r w:rsidR="005275E6" w:rsidRPr="002D6578">
        <w:rPr>
          <w:rFonts w:ascii="Times New Roman" w:hAnsi="Times New Roman" w:cs="Times New Roman"/>
        </w:rPr>
        <w:t xml:space="preserve"> and recycled asphalt are not acceptable surfacing materials. </w:t>
      </w:r>
    </w:p>
    <w:p w14:paraId="0CF93619" w14:textId="77777777" w:rsidR="00770639" w:rsidRPr="002D6578" w:rsidRDefault="00770639" w:rsidP="00770639">
      <w:pPr>
        <w:pStyle w:val="ListParagraph"/>
        <w:ind w:left="1440"/>
        <w:rPr>
          <w:rFonts w:ascii="Times New Roman" w:hAnsi="Times New Roman" w:cs="Times New Roman"/>
          <w:b/>
          <w:bCs/>
        </w:rPr>
      </w:pPr>
    </w:p>
    <w:p w14:paraId="70DCD290" w14:textId="492286A0" w:rsidR="00770639" w:rsidRPr="002D6578" w:rsidRDefault="00770639" w:rsidP="00770639">
      <w:pPr>
        <w:pStyle w:val="ListParagraph"/>
        <w:numPr>
          <w:ilvl w:val="0"/>
          <w:numId w:val="2"/>
        </w:numPr>
        <w:ind w:hanging="720"/>
        <w:rPr>
          <w:rFonts w:ascii="Times New Roman" w:hAnsi="Times New Roman" w:cs="Times New Roman"/>
        </w:rPr>
      </w:pPr>
      <w:r w:rsidRPr="002D6578">
        <w:rPr>
          <w:rFonts w:ascii="Times New Roman" w:hAnsi="Times New Roman" w:cs="Times New Roman"/>
        </w:rPr>
        <w:t>LANDSCAPING AND DESIGN</w:t>
      </w:r>
    </w:p>
    <w:p w14:paraId="7C4C919F" w14:textId="75D7CC0A" w:rsidR="00DF0D0D" w:rsidRPr="006271B9" w:rsidRDefault="00DF0D0D" w:rsidP="00091040">
      <w:pPr>
        <w:pStyle w:val="ListParagraph"/>
        <w:numPr>
          <w:ilvl w:val="0"/>
          <w:numId w:val="9"/>
        </w:numPr>
        <w:ind w:left="1440" w:hanging="720"/>
        <w:rPr>
          <w:rFonts w:ascii="Times New Roman" w:hAnsi="Times New Roman" w:cs="Times New Roman"/>
        </w:rPr>
      </w:pPr>
      <w:r w:rsidRPr="006271B9">
        <w:rPr>
          <w:rFonts w:ascii="Times New Roman" w:hAnsi="Times New Roman" w:cs="Times New Roman"/>
          <w:b/>
          <w:bCs/>
        </w:rPr>
        <w:t xml:space="preserve">Usable Open Space Required. </w:t>
      </w:r>
      <w:r w:rsidRPr="006271B9">
        <w:rPr>
          <w:rFonts w:ascii="Times New Roman" w:hAnsi="Times New Roman" w:cs="Times New Roman"/>
        </w:rPr>
        <w:t>A minimum of ten percent (10%) of the required open space shall be de</w:t>
      </w:r>
      <w:r w:rsidR="008E5623" w:rsidRPr="006271B9">
        <w:rPr>
          <w:rFonts w:ascii="Times New Roman" w:hAnsi="Times New Roman" w:cs="Times New Roman"/>
        </w:rPr>
        <w:t xml:space="preserve">signed as usable open space, as defined in Section </w:t>
      </w:r>
      <w:r w:rsidR="00A249DE" w:rsidRPr="006271B9">
        <w:rPr>
          <w:rFonts w:ascii="Times New Roman" w:hAnsi="Times New Roman" w:cs="Times New Roman"/>
        </w:rPr>
        <w:t>16-18-1</w:t>
      </w:r>
      <w:r w:rsidR="008E5623" w:rsidRPr="006271B9">
        <w:rPr>
          <w:rFonts w:ascii="Times New Roman" w:hAnsi="Times New Roman" w:cs="Times New Roman"/>
        </w:rPr>
        <w:t xml:space="preserve">. </w:t>
      </w:r>
    </w:p>
    <w:p w14:paraId="65C8AEBF" w14:textId="15B6B68A" w:rsidR="00091040" w:rsidRPr="006271B9" w:rsidRDefault="00091040" w:rsidP="00091040">
      <w:pPr>
        <w:pStyle w:val="ListParagraph"/>
        <w:numPr>
          <w:ilvl w:val="0"/>
          <w:numId w:val="9"/>
        </w:numPr>
        <w:ind w:left="1440" w:hanging="720"/>
        <w:rPr>
          <w:rFonts w:ascii="Times New Roman" w:hAnsi="Times New Roman" w:cs="Times New Roman"/>
        </w:rPr>
      </w:pPr>
      <w:r w:rsidRPr="006271B9">
        <w:rPr>
          <w:rFonts w:ascii="Times New Roman" w:hAnsi="Times New Roman" w:cs="Times New Roman"/>
          <w:b/>
          <w:bCs/>
        </w:rPr>
        <w:t xml:space="preserve">Landscape areas. </w:t>
      </w:r>
      <w:r w:rsidR="009668A9" w:rsidRPr="006271B9">
        <w:rPr>
          <w:rFonts w:ascii="Times New Roman" w:hAnsi="Times New Roman" w:cs="Times New Roman"/>
        </w:rPr>
        <w:t>All unpaved yards of any lot in this district must be covered by either planting bed or l</w:t>
      </w:r>
      <w:r w:rsidR="00A249DE" w:rsidRPr="006271B9">
        <w:rPr>
          <w:rFonts w:ascii="Times New Roman" w:hAnsi="Times New Roman" w:cs="Times New Roman"/>
        </w:rPr>
        <w:t>andscaping</w:t>
      </w:r>
      <w:r w:rsidR="009668A9" w:rsidRPr="006271B9">
        <w:rPr>
          <w:rFonts w:ascii="Times New Roman" w:hAnsi="Times New Roman" w:cs="Times New Roman"/>
        </w:rPr>
        <w:t>.</w:t>
      </w:r>
    </w:p>
    <w:p w14:paraId="63CEE2A8" w14:textId="60071912" w:rsidR="009668A9" w:rsidRPr="002D6578" w:rsidRDefault="009668A9" w:rsidP="009668A9">
      <w:pPr>
        <w:pStyle w:val="ListParagraph"/>
        <w:numPr>
          <w:ilvl w:val="0"/>
          <w:numId w:val="10"/>
        </w:numPr>
        <w:rPr>
          <w:rFonts w:ascii="Times New Roman" w:hAnsi="Times New Roman" w:cs="Times New Roman"/>
        </w:rPr>
      </w:pPr>
      <w:r w:rsidRPr="002D6578">
        <w:rPr>
          <w:rFonts w:ascii="Times New Roman" w:hAnsi="Times New Roman" w:cs="Times New Roman"/>
        </w:rPr>
        <w:t xml:space="preserve">Planters and planting beds. All planters and planting beds must include shrubs, ornamental </w:t>
      </w:r>
      <w:proofErr w:type="gramStart"/>
      <w:r w:rsidRPr="002D6578">
        <w:rPr>
          <w:rFonts w:ascii="Times New Roman" w:hAnsi="Times New Roman" w:cs="Times New Roman"/>
        </w:rPr>
        <w:t>grasses</w:t>
      </w:r>
      <w:proofErr w:type="gramEnd"/>
      <w:r w:rsidRPr="002D6578">
        <w:rPr>
          <w:rFonts w:ascii="Times New Roman" w:hAnsi="Times New Roman" w:cs="Times New Roman"/>
        </w:rPr>
        <w:t xml:space="preserve"> (not turf or lawn grass), ground cover, annuals, or perennials.</w:t>
      </w:r>
    </w:p>
    <w:p w14:paraId="11A5D53F" w14:textId="51D8C717" w:rsidR="009668A9" w:rsidRPr="002D6578" w:rsidRDefault="009668A9" w:rsidP="009668A9">
      <w:pPr>
        <w:pStyle w:val="ListParagraph"/>
        <w:numPr>
          <w:ilvl w:val="0"/>
          <w:numId w:val="12"/>
        </w:numPr>
        <w:spacing w:after="0" w:line="240" w:lineRule="auto"/>
        <w:rPr>
          <w:rFonts w:ascii="Times New Roman" w:hAnsi="Times New Roman" w:cs="Times New Roman"/>
        </w:rPr>
      </w:pPr>
      <w:r w:rsidRPr="002D6578">
        <w:rPr>
          <w:rFonts w:ascii="Times New Roman" w:hAnsi="Times New Roman" w:cs="Times New Roman"/>
        </w:rPr>
        <w:t>A minimum of</w:t>
      </w:r>
      <w:r w:rsidR="001774EC" w:rsidRPr="002D6578">
        <w:rPr>
          <w:rFonts w:ascii="Times New Roman" w:hAnsi="Times New Roman" w:cs="Times New Roman"/>
        </w:rPr>
        <w:t xml:space="preserve"> four low shrubs, or eight perennials or ornamental grasses, are required per 100 square feet of landscaped area</w:t>
      </w:r>
      <w:r w:rsidRPr="002D6578">
        <w:rPr>
          <w:rFonts w:ascii="Times New Roman" w:hAnsi="Times New Roman" w:cs="Times New Roman"/>
        </w:rPr>
        <w:t>.</w:t>
      </w:r>
      <w:r w:rsidR="001774EC" w:rsidRPr="002D6578">
        <w:rPr>
          <w:rFonts w:ascii="Times New Roman" w:hAnsi="Times New Roman" w:cs="Times New Roman"/>
        </w:rPr>
        <w:t xml:space="preserve"> Equivalent combinations of plants may be used, with two perennials or ornamental grasses equivalent to one low shrub.</w:t>
      </w:r>
      <w:r w:rsidRPr="002D6578">
        <w:rPr>
          <w:rFonts w:ascii="Times New Roman" w:hAnsi="Times New Roman" w:cs="Times New Roman"/>
        </w:rPr>
        <w:t xml:space="preserve"> The remaining portion of the bed may be covered with natural, unpainted and undyed bark mulch, or natural, unpainted and uncolored, decorative stones, minimum 0.75 inch and maximum five inches in dimension.</w:t>
      </w:r>
    </w:p>
    <w:p w14:paraId="21F29CF8" w14:textId="2043F416" w:rsidR="009668A9" w:rsidRPr="002D6578" w:rsidRDefault="009668A9" w:rsidP="009668A9">
      <w:pPr>
        <w:pStyle w:val="ListParagraph"/>
        <w:numPr>
          <w:ilvl w:val="0"/>
          <w:numId w:val="12"/>
        </w:numPr>
        <w:spacing w:after="0" w:line="240" w:lineRule="auto"/>
        <w:rPr>
          <w:rFonts w:ascii="Times New Roman" w:hAnsi="Times New Roman" w:cs="Times New Roman"/>
        </w:rPr>
      </w:pPr>
      <w:r w:rsidRPr="002D6578">
        <w:rPr>
          <w:rFonts w:ascii="Times New Roman" w:hAnsi="Times New Roman" w:cs="Times New Roman"/>
        </w:rPr>
        <w:t>Annual beds must be maintained seasonally, replanting as necessary.</w:t>
      </w:r>
    </w:p>
    <w:p w14:paraId="6B92CC46" w14:textId="6251861C" w:rsidR="009668A9" w:rsidRPr="002D6578" w:rsidRDefault="00BD2C9B" w:rsidP="009668A9">
      <w:pPr>
        <w:pStyle w:val="ListParagraph"/>
        <w:numPr>
          <w:ilvl w:val="0"/>
          <w:numId w:val="12"/>
        </w:numPr>
        <w:spacing w:after="0" w:line="240" w:lineRule="auto"/>
        <w:rPr>
          <w:rFonts w:ascii="Times New Roman" w:hAnsi="Times New Roman" w:cs="Times New Roman"/>
        </w:rPr>
      </w:pPr>
      <w:r w:rsidRPr="002D6578">
        <w:rPr>
          <w:rFonts w:ascii="Times New Roman" w:hAnsi="Times New Roman" w:cs="Times New Roman"/>
        </w:rPr>
        <w:lastRenderedPageBreak/>
        <w:t>P</w:t>
      </w:r>
      <w:r w:rsidR="009668A9" w:rsidRPr="002D6578">
        <w:rPr>
          <w:rFonts w:ascii="Times New Roman" w:hAnsi="Times New Roman" w:cs="Times New Roman"/>
        </w:rPr>
        <w:t xml:space="preserve">lanting beds </w:t>
      </w:r>
      <w:r w:rsidR="00887634" w:rsidRPr="002D6578">
        <w:rPr>
          <w:rFonts w:ascii="Times New Roman" w:hAnsi="Times New Roman" w:cs="Times New Roman"/>
        </w:rPr>
        <w:t>shall</w:t>
      </w:r>
      <w:r w:rsidR="009668A9" w:rsidRPr="002D6578">
        <w:rPr>
          <w:rFonts w:ascii="Times New Roman" w:hAnsi="Times New Roman" w:cs="Times New Roman"/>
        </w:rPr>
        <w:t xml:space="preserve"> </w:t>
      </w:r>
      <w:r w:rsidRPr="002D6578">
        <w:rPr>
          <w:rFonts w:ascii="Times New Roman" w:hAnsi="Times New Roman" w:cs="Times New Roman"/>
        </w:rPr>
        <w:t>not include species considered noxious weeds</w:t>
      </w:r>
      <w:r w:rsidR="00916826" w:rsidRPr="002D6578">
        <w:rPr>
          <w:rFonts w:ascii="Times New Roman" w:hAnsi="Times New Roman" w:cs="Times New Roman"/>
        </w:rPr>
        <w:t xml:space="preserve"> per </w:t>
      </w:r>
      <w:r w:rsidRPr="002D6578">
        <w:rPr>
          <w:rFonts w:ascii="Times New Roman" w:hAnsi="Times New Roman" w:cs="Times New Roman"/>
        </w:rPr>
        <w:t>Section 8-1-2(a)(2)</w:t>
      </w:r>
      <w:r w:rsidR="009668A9" w:rsidRPr="002D6578">
        <w:rPr>
          <w:rFonts w:ascii="Times New Roman" w:hAnsi="Times New Roman" w:cs="Times New Roman"/>
        </w:rPr>
        <w:t>.</w:t>
      </w:r>
    </w:p>
    <w:p w14:paraId="0A46256C" w14:textId="2A05BE0C" w:rsidR="00887634" w:rsidRPr="002D6578" w:rsidRDefault="00887634" w:rsidP="009668A9">
      <w:pPr>
        <w:pStyle w:val="ListParagraph"/>
        <w:numPr>
          <w:ilvl w:val="0"/>
          <w:numId w:val="12"/>
        </w:numPr>
        <w:spacing w:after="0" w:line="240" w:lineRule="auto"/>
        <w:rPr>
          <w:rFonts w:ascii="Times New Roman" w:hAnsi="Times New Roman" w:cs="Times New Roman"/>
        </w:rPr>
      </w:pPr>
      <w:r w:rsidRPr="002D6578">
        <w:rPr>
          <w:rFonts w:ascii="Times New Roman" w:hAnsi="Times New Roman" w:cs="Times New Roman"/>
        </w:rPr>
        <w:t xml:space="preserve">A recommended street tree list is maintained by the Planning &amp; Zoning Department and is available upon request to guide species selection. </w:t>
      </w:r>
    </w:p>
    <w:p w14:paraId="33E53ACA" w14:textId="1B4191DD" w:rsidR="005275E6" w:rsidRPr="002D6578" w:rsidRDefault="0039118E" w:rsidP="0039118E">
      <w:pPr>
        <w:pStyle w:val="ListParagraph"/>
        <w:numPr>
          <w:ilvl w:val="0"/>
          <w:numId w:val="9"/>
        </w:numPr>
        <w:spacing w:after="0" w:line="240" w:lineRule="auto"/>
        <w:ind w:left="1440" w:hanging="720"/>
        <w:rPr>
          <w:rFonts w:ascii="Times New Roman" w:hAnsi="Times New Roman" w:cs="Times New Roman"/>
          <w:b/>
          <w:bCs/>
        </w:rPr>
      </w:pPr>
      <w:r w:rsidRPr="002D6578">
        <w:rPr>
          <w:rFonts w:ascii="Times New Roman" w:hAnsi="Times New Roman" w:cs="Times New Roman"/>
          <w:b/>
          <w:bCs/>
        </w:rPr>
        <w:t xml:space="preserve">Sidewalks required. </w:t>
      </w:r>
      <w:r w:rsidR="00FD13F2" w:rsidRPr="002D6578">
        <w:rPr>
          <w:rFonts w:ascii="Times New Roman" w:hAnsi="Times New Roman" w:cs="Times New Roman"/>
        </w:rPr>
        <w:t xml:space="preserve">Sidewalks shall be installed along all sides of the lot </w:t>
      </w:r>
      <w:proofErr w:type="gramStart"/>
      <w:r w:rsidR="00FD13F2" w:rsidRPr="002D6578">
        <w:rPr>
          <w:rFonts w:ascii="Times New Roman" w:hAnsi="Times New Roman" w:cs="Times New Roman"/>
        </w:rPr>
        <w:t>abutting</w:t>
      </w:r>
      <w:proofErr w:type="gramEnd"/>
      <w:r w:rsidR="00FD13F2" w:rsidRPr="002D6578">
        <w:rPr>
          <w:rFonts w:ascii="Times New Roman" w:hAnsi="Times New Roman" w:cs="Times New Roman"/>
        </w:rPr>
        <w:t xml:space="preserve"> a public street and shall be designed and built in accordance with the provisions of </w:t>
      </w:r>
      <w:r w:rsidRPr="002D6578">
        <w:rPr>
          <w:rFonts w:ascii="Times New Roman" w:hAnsi="Times New Roman" w:cs="Times New Roman"/>
        </w:rPr>
        <w:t xml:space="preserve">Title 6, Chapter 3. </w:t>
      </w:r>
    </w:p>
    <w:p w14:paraId="7FFF2790" w14:textId="145B4139" w:rsidR="00091040" w:rsidRPr="002D6578" w:rsidRDefault="00091040" w:rsidP="00091040">
      <w:pPr>
        <w:pStyle w:val="ListParagraph"/>
        <w:numPr>
          <w:ilvl w:val="0"/>
          <w:numId w:val="9"/>
        </w:numPr>
        <w:ind w:left="1440" w:hanging="720"/>
        <w:rPr>
          <w:rFonts w:ascii="Times New Roman" w:hAnsi="Times New Roman" w:cs="Times New Roman"/>
        </w:rPr>
      </w:pPr>
      <w:r w:rsidRPr="002D6578">
        <w:rPr>
          <w:rFonts w:ascii="Times New Roman" w:hAnsi="Times New Roman" w:cs="Times New Roman"/>
          <w:b/>
          <w:bCs/>
        </w:rPr>
        <w:t>Interior parking lot landscaping.</w:t>
      </w:r>
      <w:r w:rsidR="00E53083" w:rsidRPr="002D6578">
        <w:rPr>
          <w:rFonts w:ascii="Times New Roman" w:hAnsi="Times New Roman" w:cs="Times New Roman"/>
          <w:b/>
          <w:bCs/>
        </w:rPr>
        <w:t xml:space="preserve"> </w:t>
      </w:r>
      <w:r w:rsidR="00E53083" w:rsidRPr="002D6578">
        <w:rPr>
          <w:rFonts w:ascii="Times New Roman" w:hAnsi="Times New Roman" w:cs="Times New Roman"/>
        </w:rPr>
        <w:t xml:space="preserve">A minimum of one canopy tree and 100 square feet of landscape area is required for every </w:t>
      </w:r>
      <w:r w:rsidR="00916826" w:rsidRPr="002D6578">
        <w:rPr>
          <w:rFonts w:ascii="Times New Roman" w:hAnsi="Times New Roman" w:cs="Times New Roman"/>
        </w:rPr>
        <w:t>ten</w:t>
      </w:r>
      <w:r w:rsidR="00BD6E51" w:rsidRPr="002D6578">
        <w:rPr>
          <w:rFonts w:ascii="Times New Roman" w:hAnsi="Times New Roman" w:cs="Times New Roman"/>
        </w:rPr>
        <w:t xml:space="preserve"> (</w:t>
      </w:r>
      <w:r w:rsidR="00916826" w:rsidRPr="002D6578">
        <w:rPr>
          <w:rFonts w:ascii="Times New Roman" w:hAnsi="Times New Roman" w:cs="Times New Roman"/>
        </w:rPr>
        <w:t>10</w:t>
      </w:r>
      <w:r w:rsidR="00BD6E51" w:rsidRPr="002D6578">
        <w:rPr>
          <w:rFonts w:ascii="Times New Roman" w:hAnsi="Times New Roman" w:cs="Times New Roman"/>
        </w:rPr>
        <w:t>)</w:t>
      </w:r>
      <w:r w:rsidR="00E53083" w:rsidRPr="002D6578">
        <w:rPr>
          <w:rFonts w:ascii="Times New Roman" w:hAnsi="Times New Roman" w:cs="Times New Roman"/>
        </w:rPr>
        <w:t xml:space="preserve"> parking spaces or fraction thereof, provided that:</w:t>
      </w:r>
    </w:p>
    <w:p w14:paraId="6511D83A" w14:textId="0E774271" w:rsidR="00E53083" w:rsidRPr="002D6578" w:rsidRDefault="00E53083" w:rsidP="00E53083">
      <w:pPr>
        <w:pStyle w:val="ListParagraph"/>
        <w:ind w:left="1440"/>
        <w:rPr>
          <w:rFonts w:ascii="Times New Roman" w:hAnsi="Times New Roman" w:cs="Times New Roman"/>
        </w:rPr>
      </w:pPr>
      <w:r w:rsidRPr="002D6578">
        <w:rPr>
          <w:rFonts w:ascii="Times New Roman" w:hAnsi="Times New Roman" w:cs="Times New Roman"/>
        </w:rPr>
        <w:t>(a) Parking spaces within structures, designated motorcycle parking spaces and bicycle parking spaces are not included when determining the minimum amount of landscaping required.</w:t>
      </w:r>
    </w:p>
    <w:p w14:paraId="71950FE2" w14:textId="02EB7A96" w:rsidR="00E53083" w:rsidRPr="002D6578" w:rsidRDefault="00E53083" w:rsidP="00E53083">
      <w:pPr>
        <w:pStyle w:val="ListParagraph"/>
        <w:ind w:left="1440"/>
        <w:rPr>
          <w:rFonts w:ascii="Times New Roman" w:hAnsi="Times New Roman" w:cs="Times New Roman"/>
        </w:rPr>
      </w:pPr>
      <w:r w:rsidRPr="002D6578">
        <w:rPr>
          <w:rFonts w:ascii="Times New Roman" w:hAnsi="Times New Roman" w:cs="Times New Roman"/>
        </w:rPr>
        <w:t>(b) Trees and landscaped areas used to meet the screening requirements of this section are counted toward total parking lot landscaping requirements.</w:t>
      </w:r>
    </w:p>
    <w:p w14:paraId="25EFD280" w14:textId="02A81DA4" w:rsidR="00E53083" w:rsidRPr="002D6578" w:rsidRDefault="00E53083" w:rsidP="00E53083">
      <w:pPr>
        <w:pStyle w:val="ListParagraph"/>
        <w:ind w:left="1440"/>
        <w:rPr>
          <w:rFonts w:ascii="Times New Roman" w:hAnsi="Times New Roman" w:cs="Times New Roman"/>
        </w:rPr>
      </w:pPr>
      <w:r w:rsidRPr="002D6578">
        <w:rPr>
          <w:rFonts w:ascii="Times New Roman" w:hAnsi="Times New Roman" w:cs="Times New Roman"/>
        </w:rPr>
        <w:t xml:space="preserve">(c) Green infrastructure incentives. The interior parking lot landscaping requirement of this division may be reduced to not less than one tree and 100 square feet of landscaped area per </w:t>
      </w:r>
      <w:r w:rsidR="00EA5921" w:rsidRPr="002D6578">
        <w:rPr>
          <w:rFonts w:ascii="Times New Roman" w:hAnsi="Times New Roman" w:cs="Times New Roman"/>
        </w:rPr>
        <w:t>thirteen (13)</w:t>
      </w:r>
      <w:r w:rsidRPr="002D6578">
        <w:rPr>
          <w:rFonts w:ascii="Times New Roman" w:hAnsi="Times New Roman" w:cs="Times New Roman"/>
        </w:rPr>
        <w:t xml:space="preserve"> parking spaces if the following amounts of green infrastructure features are provided as a substitute for trees and landscaped areas:</w:t>
      </w:r>
    </w:p>
    <w:p w14:paraId="7C6B2F45" w14:textId="01E45339" w:rsidR="00E53083" w:rsidRPr="002D6578" w:rsidRDefault="00E53083" w:rsidP="00E53083">
      <w:pPr>
        <w:pStyle w:val="ListParagraph"/>
        <w:ind w:left="1980"/>
        <w:rPr>
          <w:rFonts w:ascii="Times New Roman" w:hAnsi="Times New Roman" w:cs="Times New Roman"/>
        </w:rPr>
      </w:pPr>
      <w:r w:rsidRPr="002D6578">
        <w:rPr>
          <w:rFonts w:ascii="Times New Roman" w:hAnsi="Times New Roman" w:cs="Times New Roman"/>
        </w:rPr>
        <w:t>1. Permeable paving. One hundred square feet of permeable paving may be substituted for one tree and 100 square feet of landscaped area.</w:t>
      </w:r>
    </w:p>
    <w:p w14:paraId="370161CD" w14:textId="03F2B9BA" w:rsidR="00E53083" w:rsidRPr="002D6578" w:rsidRDefault="00E53083" w:rsidP="00E53083">
      <w:pPr>
        <w:pStyle w:val="ListParagraph"/>
        <w:ind w:left="1980"/>
        <w:rPr>
          <w:rFonts w:ascii="Times New Roman" w:hAnsi="Times New Roman" w:cs="Times New Roman"/>
        </w:rPr>
      </w:pPr>
      <w:r w:rsidRPr="002D6578">
        <w:rPr>
          <w:rFonts w:ascii="Times New Roman" w:hAnsi="Times New Roman" w:cs="Times New Roman"/>
        </w:rPr>
        <w:t>2. Rain gardens. One hundred square feet of rain garden with a rainwater catchment area of at least 1,000 square feet may be substituted for one tree and 100 square feet of landscaped area.</w:t>
      </w:r>
    </w:p>
    <w:p w14:paraId="0B7F3EE4" w14:textId="79D75D3D" w:rsidR="00E53083" w:rsidRPr="002D6578" w:rsidRDefault="00E53083" w:rsidP="00E53083">
      <w:pPr>
        <w:pStyle w:val="ListParagraph"/>
        <w:ind w:left="1980"/>
        <w:rPr>
          <w:rFonts w:ascii="Times New Roman" w:hAnsi="Times New Roman" w:cs="Times New Roman"/>
        </w:rPr>
      </w:pPr>
      <w:r w:rsidRPr="002D6578">
        <w:rPr>
          <w:rFonts w:ascii="Times New Roman" w:hAnsi="Times New Roman" w:cs="Times New Roman"/>
        </w:rPr>
        <w:t>3. Bioswales. Fifty cubic feet (375 gallons) of bioretention capacity with a rainwater catchment area of at least 1,000 square feet may be substituted for one tree and 100 square feet of landscaped area.</w:t>
      </w:r>
    </w:p>
    <w:p w14:paraId="3912E3CA" w14:textId="5F112179" w:rsidR="00DF0D0D" w:rsidRPr="002D6578" w:rsidRDefault="004E6E6E" w:rsidP="00DF0D0D">
      <w:pPr>
        <w:pStyle w:val="ListParagraph"/>
        <w:numPr>
          <w:ilvl w:val="0"/>
          <w:numId w:val="9"/>
        </w:numPr>
        <w:ind w:left="1440" w:hanging="720"/>
        <w:rPr>
          <w:rFonts w:ascii="Times New Roman" w:hAnsi="Times New Roman" w:cs="Times New Roman"/>
        </w:rPr>
      </w:pPr>
      <w:r w:rsidRPr="002D6578">
        <w:rPr>
          <w:rFonts w:ascii="Times New Roman" w:hAnsi="Times New Roman" w:cs="Times New Roman"/>
          <w:b/>
          <w:bCs/>
        </w:rPr>
        <w:t>Pedestrian walkways.</w:t>
      </w:r>
      <w:r w:rsidRPr="002D6578">
        <w:rPr>
          <w:rFonts w:ascii="Times New Roman" w:hAnsi="Times New Roman" w:cs="Times New Roman"/>
        </w:rPr>
        <w:t xml:space="preserve"> </w:t>
      </w:r>
      <w:r w:rsidR="00916826" w:rsidRPr="002D6578">
        <w:rPr>
          <w:rFonts w:ascii="Times New Roman" w:hAnsi="Times New Roman" w:cs="Times New Roman"/>
        </w:rPr>
        <w:t>The design of pedestrian walkways shall follow the Village Design Guidelines per Section 16-4-4</w:t>
      </w:r>
      <w:r w:rsidRPr="002D6578">
        <w:rPr>
          <w:rFonts w:ascii="Times New Roman" w:hAnsi="Times New Roman" w:cs="Times New Roman"/>
        </w:rPr>
        <w:t>.</w:t>
      </w:r>
    </w:p>
    <w:p w14:paraId="2EA6FF00" w14:textId="77777777" w:rsidR="00827E06" w:rsidRPr="002D6578" w:rsidRDefault="00827E06" w:rsidP="00827E06">
      <w:pPr>
        <w:rPr>
          <w:rFonts w:ascii="Times New Roman" w:hAnsi="Times New Roman" w:cs="Times New Roman"/>
        </w:rPr>
      </w:pPr>
    </w:p>
    <w:p w14:paraId="085FE38A" w14:textId="1E5AF3B5" w:rsidR="00FF7B4C" w:rsidRPr="002D6578" w:rsidRDefault="00F607A3" w:rsidP="00FF7B4C">
      <w:pPr>
        <w:pStyle w:val="ListParagraph"/>
        <w:numPr>
          <w:ilvl w:val="0"/>
          <w:numId w:val="2"/>
        </w:numPr>
        <w:ind w:hanging="720"/>
        <w:rPr>
          <w:rFonts w:ascii="Times New Roman" w:hAnsi="Times New Roman" w:cs="Times New Roman"/>
        </w:rPr>
      </w:pPr>
      <w:r w:rsidRPr="002D6578">
        <w:rPr>
          <w:rFonts w:ascii="Times New Roman" w:hAnsi="Times New Roman" w:cs="Times New Roman"/>
        </w:rPr>
        <w:t>SCREENING</w:t>
      </w:r>
    </w:p>
    <w:p w14:paraId="705AD139" w14:textId="22D50916" w:rsidR="00F607A3" w:rsidRPr="002D6578" w:rsidRDefault="007E0EFC" w:rsidP="00F607A3">
      <w:pPr>
        <w:pStyle w:val="ListParagraph"/>
        <w:numPr>
          <w:ilvl w:val="0"/>
          <w:numId w:val="13"/>
        </w:numPr>
        <w:ind w:left="1440" w:hanging="720"/>
        <w:rPr>
          <w:rFonts w:ascii="Times New Roman" w:hAnsi="Times New Roman" w:cs="Times New Roman"/>
        </w:rPr>
      </w:pPr>
      <w:r w:rsidRPr="002D6578">
        <w:rPr>
          <w:rFonts w:ascii="Times New Roman" w:hAnsi="Times New Roman" w:cs="Times New Roman"/>
        </w:rPr>
        <w:t>Per Village Design Guidelines, the design of trash and recycling receptacles shall use similar grade materials as proposed on the principal structure</w:t>
      </w:r>
      <w:r w:rsidR="00BF7C3D" w:rsidRPr="002D6578">
        <w:rPr>
          <w:rFonts w:ascii="Times New Roman" w:hAnsi="Times New Roman" w:cs="Times New Roman"/>
        </w:rPr>
        <w:t>,</w:t>
      </w:r>
      <w:r w:rsidRPr="002D6578">
        <w:rPr>
          <w:rFonts w:ascii="Times New Roman" w:hAnsi="Times New Roman" w:cs="Times New Roman"/>
        </w:rPr>
        <w:t xml:space="preserve"> or a combination of landscaping</w:t>
      </w:r>
      <w:r w:rsidR="00BF7C3D" w:rsidRPr="002D6578">
        <w:rPr>
          <w:rFonts w:ascii="Times New Roman" w:hAnsi="Times New Roman" w:cs="Times New Roman"/>
        </w:rPr>
        <w:t xml:space="preserve">, </w:t>
      </w:r>
      <w:r w:rsidRPr="002D6578">
        <w:rPr>
          <w:rFonts w:ascii="Times New Roman" w:hAnsi="Times New Roman" w:cs="Times New Roman"/>
        </w:rPr>
        <w:t>grading</w:t>
      </w:r>
      <w:r w:rsidR="00BF7C3D" w:rsidRPr="002D6578">
        <w:rPr>
          <w:rFonts w:ascii="Times New Roman" w:hAnsi="Times New Roman" w:cs="Times New Roman"/>
        </w:rPr>
        <w:t xml:space="preserve">, and </w:t>
      </w:r>
      <w:r w:rsidRPr="002D6578">
        <w:rPr>
          <w:rFonts w:ascii="Times New Roman" w:hAnsi="Times New Roman" w:cs="Times New Roman"/>
        </w:rPr>
        <w:t xml:space="preserve">fencing. </w:t>
      </w:r>
      <w:r w:rsidR="00BF7C3D" w:rsidRPr="002D6578">
        <w:rPr>
          <w:rFonts w:ascii="Times New Roman" w:hAnsi="Times New Roman" w:cs="Times New Roman"/>
        </w:rPr>
        <w:t>R</w:t>
      </w:r>
      <w:r w:rsidRPr="002D6578">
        <w:rPr>
          <w:rFonts w:ascii="Times New Roman" w:hAnsi="Times New Roman" w:cs="Times New Roman"/>
        </w:rPr>
        <w:t>eceptacles</w:t>
      </w:r>
      <w:r w:rsidR="00F607A3" w:rsidRPr="002D6578">
        <w:rPr>
          <w:rFonts w:ascii="Times New Roman" w:hAnsi="Times New Roman" w:cs="Times New Roman"/>
        </w:rPr>
        <w:t xml:space="preserve"> shall be screened on three sides </w:t>
      </w:r>
      <w:r w:rsidR="00BF7C3D" w:rsidRPr="002D6578">
        <w:rPr>
          <w:rFonts w:ascii="Times New Roman" w:hAnsi="Times New Roman" w:cs="Times New Roman"/>
        </w:rPr>
        <w:t>by</w:t>
      </w:r>
      <w:r w:rsidR="00F607A3" w:rsidRPr="002D6578">
        <w:rPr>
          <w:rFonts w:ascii="Times New Roman" w:hAnsi="Times New Roman" w:cs="Times New Roman"/>
        </w:rPr>
        <w:t xml:space="preserve"> an opaque masonry wall or fence with a m</w:t>
      </w:r>
      <w:r w:rsidR="00A249DE" w:rsidRPr="002D6578">
        <w:rPr>
          <w:rFonts w:ascii="Times New Roman" w:hAnsi="Times New Roman" w:cs="Times New Roman"/>
        </w:rPr>
        <w:t>aximum</w:t>
      </w:r>
      <w:r w:rsidR="00F607A3" w:rsidRPr="002D6578">
        <w:rPr>
          <w:rFonts w:ascii="Times New Roman" w:hAnsi="Times New Roman" w:cs="Times New Roman"/>
        </w:rPr>
        <w:t xml:space="preserve"> height of six (6) feet. </w:t>
      </w:r>
      <w:r w:rsidR="00BF7C3D" w:rsidRPr="002D6578">
        <w:rPr>
          <w:rFonts w:ascii="Times New Roman" w:hAnsi="Times New Roman" w:cs="Times New Roman"/>
        </w:rPr>
        <w:t>M</w:t>
      </w:r>
      <w:r w:rsidR="00F607A3" w:rsidRPr="002D6578">
        <w:rPr>
          <w:rFonts w:ascii="Times New Roman" w:hAnsi="Times New Roman" w:cs="Times New Roman"/>
        </w:rPr>
        <w:t xml:space="preserve">aterials that are not solid, such </w:t>
      </w:r>
      <w:r w:rsidR="00BF7C3D" w:rsidRPr="002D6578">
        <w:rPr>
          <w:rFonts w:ascii="Times New Roman" w:hAnsi="Times New Roman" w:cs="Times New Roman"/>
        </w:rPr>
        <w:t>chain-link fencing with slats</w:t>
      </w:r>
      <w:r w:rsidR="00F607A3" w:rsidRPr="002D6578">
        <w:rPr>
          <w:rFonts w:ascii="Times New Roman" w:hAnsi="Times New Roman" w:cs="Times New Roman"/>
        </w:rPr>
        <w:t xml:space="preserve">, </w:t>
      </w:r>
      <w:r w:rsidR="00BF7C3D" w:rsidRPr="002D6578">
        <w:rPr>
          <w:rFonts w:ascii="Times New Roman" w:hAnsi="Times New Roman" w:cs="Times New Roman"/>
        </w:rPr>
        <w:t>are</w:t>
      </w:r>
      <w:r w:rsidR="00F607A3" w:rsidRPr="002D6578">
        <w:rPr>
          <w:rFonts w:ascii="Times New Roman" w:hAnsi="Times New Roman" w:cs="Times New Roman"/>
        </w:rPr>
        <w:t xml:space="preserve"> prohibited. </w:t>
      </w:r>
    </w:p>
    <w:p w14:paraId="070AE39D" w14:textId="41FCBE01" w:rsidR="00D56E36" w:rsidRPr="002D6578" w:rsidRDefault="00A94EC0" w:rsidP="00D56E36">
      <w:pPr>
        <w:pStyle w:val="ListParagraph"/>
        <w:numPr>
          <w:ilvl w:val="1"/>
          <w:numId w:val="13"/>
        </w:numPr>
        <w:rPr>
          <w:rFonts w:ascii="Times New Roman" w:hAnsi="Times New Roman" w:cs="Times New Roman"/>
        </w:rPr>
      </w:pPr>
      <w:r w:rsidRPr="002D6578">
        <w:rPr>
          <w:rFonts w:ascii="Times New Roman" w:hAnsi="Times New Roman" w:cs="Times New Roman"/>
        </w:rPr>
        <w:t xml:space="preserve">Enclosure openings shall be gated with </w:t>
      </w:r>
      <w:proofErr w:type="gramStart"/>
      <w:r w:rsidRPr="002D6578">
        <w:rPr>
          <w:rFonts w:ascii="Times New Roman" w:hAnsi="Times New Roman" w:cs="Times New Roman"/>
        </w:rPr>
        <w:t>an opaque</w:t>
      </w:r>
      <w:proofErr w:type="gramEnd"/>
      <w:r w:rsidRPr="002D6578">
        <w:rPr>
          <w:rFonts w:ascii="Times New Roman" w:hAnsi="Times New Roman" w:cs="Times New Roman"/>
        </w:rPr>
        <w:t xml:space="preserve"> material and shall not be directly visible from </w:t>
      </w:r>
      <w:proofErr w:type="gramStart"/>
      <w:r w:rsidRPr="002D6578">
        <w:rPr>
          <w:rFonts w:ascii="Times New Roman" w:hAnsi="Times New Roman" w:cs="Times New Roman"/>
        </w:rPr>
        <w:t>a public</w:t>
      </w:r>
      <w:proofErr w:type="gramEnd"/>
      <w:r w:rsidRPr="002D6578">
        <w:rPr>
          <w:rFonts w:ascii="Times New Roman" w:hAnsi="Times New Roman" w:cs="Times New Roman"/>
        </w:rPr>
        <w:t xml:space="preserve"> right-of-way and/or adjoining residential areas. </w:t>
      </w:r>
    </w:p>
    <w:p w14:paraId="5FF34512" w14:textId="54B1ABA3" w:rsidR="00F607A3" w:rsidRPr="002D6578" w:rsidRDefault="005D7649" w:rsidP="00F607A3">
      <w:pPr>
        <w:pStyle w:val="ListParagraph"/>
        <w:numPr>
          <w:ilvl w:val="0"/>
          <w:numId w:val="13"/>
        </w:numPr>
        <w:ind w:left="1440" w:hanging="720"/>
        <w:rPr>
          <w:rFonts w:ascii="Times New Roman" w:hAnsi="Times New Roman" w:cs="Times New Roman"/>
        </w:rPr>
      </w:pPr>
      <w:r w:rsidRPr="002D6578">
        <w:rPr>
          <w:rFonts w:ascii="Times New Roman" w:hAnsi="Times New Roman" w:cs="Times New Roman"/>
        </w:rPr>
        <w:lastRenderedPageBreak/>
        <w:t xml:space="preserve">The design and screening of garage doors, loading areas, service entries and areas, and mechanical equipment shall follow the adopted Village Design Guidelines per </w:t>
      </w:r>
      <w:r w:rsidR="00D56E36" w:rsidRPr="002D6578">
        <w:rPr>
          <w:rFonts w:ascii="Times New Roman" w:hAnsi="Times New Roman" w:cs="Times New Roman"/>
        </w:rPr>
        <w:t xml:space="preserve">Section 16-4-4. </w:t>
      </w:r>
    </w:p>
    <w:p w14:paraId="04880175" w14:textId="204D36E2" w:rsidR="00A94EC0" w:rsidRPr="002D6578" w:rsidRDefault="00A94EC0" w:rsidP="00A94EC0">
      <w:pPr>
        <w:pStyle w:val="ListParagraph"/>
        <w:numPr>
          <w:ilvl w:val="0"/>
          <w:numId w:val="2"/>
        </w:numPr>
        <w:ind w:hanging="720"/>
        <w:rPr>
          <w:rFonts w:ascii="Times New Roman" w:hAnsi="Times New Roman" w:cs="Times New Roman"/>
        </w:rPr>
      </w:pPr>
      <w:r w:rsidRPr="002D6578">
        <w:rPr>
          <w:rFonts w:ascii="Times New Roman" w:hAnsi="Times New Roman" w:cs="Times New Roman"/>
        </w:rPr>
        <w:t xml:space="preserve">EXTERIOR LIGHTING </w:t>
      </w:r>
    </w:p>
    <w:p w14:paraId="0CA3ABD8" w14:textId="77440D33" w:rsidR="00A94EC0" w:rsidRPr="002D6578" w:rsidRDefault="00907054" w:rsidP="00A94EC0">
      <w:pPr>
        <w:pStyle w:val="ListParagraph"/>
        <w:numPr>
          <w:ilvl w:val="0"/>
          <w:numId w:val="14"/>
        </w:numPr>
        <w:ind w:left="1440" w:hanging="720"/>
        <w:rPr>
          <w:rFonts w:ascii="Times New Roman" w:hAnsi="Times New Roman" w:cs="Times New Roman"/>
        </w:rPr>
      </w:pPr>
      <w:r w:rsidRPr="002D6578">
        <w:rPr>
          <w:rFonts w:ascii="Times New Roman" w:hAnsi="Times New Roman" w:cs="Times New Roman"/>
        </w:rPr>
        <w:t>The design of exterior lighting shall follow the provisions of Section 16-10-4 and the Village Design Guidelines per Section 16-4-4.</w:t>
      </w:r>
    </w:p>
    <w:p w14:paraId="2A6FB271" w14:textId="040D127A" w:rsidR="00F607A3" w:rsidRPr="002D6578" w:rsidRDefault="00F607A3" w:rsidP="00F607A3">
      <w:pPr>
        <w:rPr>
          <w:rFonts w:ascii="Times New Roman" w:hAnsi="Times New Roman" w:cs="Times New Roman"/>
        </w:rPr>
      </w:pPr>
    </w:p>
    <w:p w14:paraId="6C9C61EF" w14:textId="77777777" w:rsidR="00B13177" w:rsidRPr="002D6578" w:rsidRDefault="00B13177" w:rsidP="00827E06">
      <w:pPr>
        <w:rPr>
          <w:rFonts w:ascii="Times New Roman" w:hAnsi="Times New Roman" w:cs="Times New Roman"/>
        </w:rPr>
      </w:pPr>
    </w:p>
    <w:p w14:paraId="523DEAD9" w14:textId="77777777" w:rsidR="00B13177" w:rsidRPr="002D6578" w:rsidRDefault="00B13177" w:rsidP="00827E06">
      <w:pPr>
        <w:rPr>
          <w:rFonts w:ascii="Times New Roman" w:hAnsi="Times New Roman" w:cs="Times New Roman"/>
        </w:rPr>
      </w:pPr>
    </w:p>
    <w:p w14:paraId="27D33A72" w14:textId="77777777" w:rsidR="00A249DE" w:rsidRPr="002D6578" w:rsidRDefault="00A249DE" w:rsidP="00827E06">
      <w:pPr>
        <w:rPr>
          <w:rFonts w:ascii="Times New Roman" w:hAnsi="Times New Roman" w:cs="Times New Roman"/>
          <w:b/>
          <w:bCs/>
        </w:rPr>
      </w:pPr>
    </w:p>
    <w:p w14:paraId="610FC3D2" w14:textId="77777777" w:rsidR="00A249DE" w:rsidRPr="002D6578" w:rsidRDefault="00A249DE" w:rsidP="00827E06">
      <w:pPr>
        <w:rPr>
          <w:rFonts w:ascii="Times New Roman" w:hAnsi="Times New Roman" w:cs="Times New Roman"/>
          <w:b/>
          <w:bCs/>
        </w:rPr>
      </w:pPr>
    </w:p>
    <w:p w14:paraId="66C804F7" w14:textId="77777777" w:rsidR="00A249DE" w:rsidRPr="002D6578" w:rsidRDefault="00A249DE" w:rsidP="00827E06">
      <w:pPr>
        <w:rPr>
          <w:rFonts w:ascii="Times New Roman" w:hAnsi="Times New Roman" w:cs="Times New Roman"/>
          <w:b/>
          <w:bCs/>
        </w:rPr>
      </w:pPr>
    </w:p>
    <w:p w14:paraId="3F014935" w14:textId="77777777" w:rsidR="00A249DE" w:rsidRPr="002D6578" w:rsidRDefault="00A249DE" w:rsidP="00827E06">
      <w:pPr>
        <w:rPr>
          <w:rFonts w:ascii="Times New Roman" w:hAnsi="Times New Roman" w:cs="Times New Roman"/>
          <w:b/>
          <w:bCs/>
        </w:rPr>
      </w:pPr>
    </w:p>
    <w:p w14:paraId="6B5C66BB" w14:textId="77777777" w:rsidR="00A249DE" w:rsidRPr="002D6578" w:rsidRDefault="00A249DE" w:rsidP="00827E06">
      <w:pPr>
        <w:rPr>
          <w:rFonts w:ascii="Times New Roman" w:hAnsi="Times New Roman" w:cs="Times New Roman"/>
          <w:b/>
          <w:bCs/>
        </w:rPr>
      </w:pPr>
    </w:p>
    <w:p w14:paraId="2AC32AF7" w14:textId="77777777" w:rsidR="00A249DE" w:rsidRPr="002D6578" w:rsidRDefault="00A249DE" w:rsidP="00827E06">
      <w:pPr>
        <w:rPr>
          <w:rFonts w:ascii="Times New Roman" w:hAnsi="Times New Roman" w:cs="Times New Roman"/>
          <w:b/>
          <w:bCs/>
        </w:rPr>
      </w:pPr>
    </w:p>
    <w:p w14:paraId="617FDEE4" w14:textId="77777777" w:rsidR="00A249DE" w:rsidRPr="002D6578" w:rsidRDefault="00A249DE" w:rsidP="00827E06">
      <w:pPr>
        <w:rPr>
          <w:rFonts w:ascii="Times New Roman" w:hAnsi="Times New Roman" w:cs="Times New Roman"/>
          <w:b/>
          <w:bCs/>
        </w:rPr>
      </w:pPr>
    </w:p>
    <w:p w14:paraId="0FA7AB0F" w14:textId="77777777" w:rsidR="00A249DE" w:rsidRPr="002D6578" w:rsidRDefault="00A249DE" w:rsidP="00827E06">
      <w:pPr>
        <w:rPr>
          <w:rFonts w:ascii="Times New Roman" w:hAnsi="Times New Roman" w:cs="Times New Roman"/>
          <w:b/>
          <w:bCs/>
        </w:rPr>
      </w:pPr>
    </w:p>
    <w:p w14:paraId="514BE450" w14:textId="77777777" w:rsidR="00A249DE" w:rsidRPr="002D6578" w:rsidRDefault="00A249DE" w:rsidP="00827E06">
      <w:pPr>
        <w:rPr>
          <w:rFonts w:ascii="Times New Roman" w:hAnsi="Times New Roman" w:cs="Times New Roman"/>
          <w:b/>
          <w:bCs/>
        </w:rPr>
      </w:pPr>
    </w:p>
    <w:p w14:paraId="1B745B06" w14:textId="77777777" w:rsidR="00A249DE" w:rsidRPr="002D6578" w:rsidRDefault="00A249DE" w:rsidP="00827E06">
      <w:pPr>
        <w:rPr>
          <w:rFonts w:ascii="Times New Roman" w:hAnsi="Times New Roman" w:cs="Times New Roman"/>
          <w:b/>
          <w:bCs/>
        </w:rPr>
      </w:pPr>
    </w:p>
    <w:p w14:paraId="510EA768" w14:textId="77777777" w:rsidR="00A249DE" w:rsidRPr="002D6578" w:rsidRDefault="00A249DE" w:rsidP="00827E06">
      <w:pPr>
        <w:rPr>
          <w:rFonts w:ascii="Times New Roman" w:hAnsi="Times New Roman" w:cs="Times New Roman"/>
          <w:b/>
          <w:bCs/>
        </w:rPr>
      </w:pPr>
    </w:p>
    <w:p w14:paraId="3BB397F4" w14:textId="77777777" w:rsidR="00A249DE" w:rsidRPr="002D6578" w:rsidRDefault="00A249DE" w:rsidP="00827E06">
      <w:pPr>
        <w:rPr>
          <w:rFonts w:ascii="Times New Roman" w:hAnsi="Times New Roman" w:cs="Times New Roman"/>
          <w:b/>
          <w:bCs/>
        </w:rPr>
      </w:pPr>
    </w:p>
    <w:p w14:paraId="13BB2641" w14:textId="3A391A52" w:rsidR="00B13177" w:rsidRPr="002D6578" w:rsidRDefault="00B13177" w:rsidP="00827E06">
      <w:pPr>
        <w:rPr>
          <w:rFonts w:ascii="Times New Roman" w:hAnsi="Times New Roman" w:cs="Times New Roman"/>
          <w:b/>
          <w:bCs/>
        </w:rPr>
      </w:pPr>
      <w:r w:rsidRPr="002D6578">
        <w:rPr>
          <w:rFonts w:ascii="Times New Roman" w:hAnsi="Times New Roman" w:cs="Times New Roman"/>
          <w:b/>
          <w:bCs/>
        </w:rPr>
        <w:t>Definitions:</w:t>
      </w:r>
    </w:p>
    <w:p w14:paraId="02EAE03E" w14:textId="3DC198FE" w:rsidR="00973F15" w:rsidRPr="002D6578" w:rsidRDefault="00746CA6" w:rsidP="00D56E36">
      <w:pPr>
        <w:rPr>
          <w:rFonts w:ascii="Times New Roman" w:hAnsi="Times New Roman" w:cs="Times New Roman"/>
        </w:rPr>
      </w:pPr>
      <w:r w:rsidRPr="002D6578">
        <w:rPr>
          <w:rFonts w:ascii="Times New Roman" w:hAnsi="Times New Roman" w:cs="Times New Roman"/>
          <w:b/>
          <w:bCs/>
        </w:rPr>
        <w:t>Planting bed.</w:t>
      </w:r>
      <w:r w:rsidRPr="002D6578">
        <w:rPr>
          <w:rFonts w:ascii="Times New Roman" w:hAnsi="Times New Roman" w:cs="Times New Roman"/>
        </w:rPr>
        <w:t xml:space="preserve"> </w:t>
      </w:r>
      <w:r w:rsidR="00973F15" w:rsidRPr="002D6578">
        <w:rPr>
          <w:rFonts w:ascii="Times New Roman" w:hAnsi="Times New Roman" w:cs="Times New Roman"/>
        </w:rPr>
        <w:t xml:space="preserve">shall mean a </w:t>
      </w:r>
      <w:r w:rsidRPr="002D6578">
        <w:rPr>
          <w:rFonts w:ascii="Times New Roman" w:hAnsi="Times New Roman" w:cs="Times New Roman"/>
        </w:rPr>
        <w:t xml:space="preserve">designated area for the cultivation of plants such as shrubs, ornamental grasses, or similar vegetation, which is physically separated from lawn or turf areas. A planting bed may be located at grade or raised above the surrounding soil </w:t>
      </w:r>
      <w:r w:rsidR="00D71B03" w:rsidRPr="002D6578">
        <w:rPr>
          <w:rFonts w:ascii="Times New Roman" w:hAnsi="Times New Roman" w:cs="Times New Roman"/>
        </w:rPr>
        <w:t xml:space="preserve">and is defined </w:t>
      </w:r>
      <w:r w:rsidRPr="002D6578">
        <w:rPr>
          <w:rFonts w:ascii="Times New Roman" w:hAnsi="Times New Roman" w:cs="Times New Roman"/>
        </w:rPr>
        <w:t>by a frame</w:t>
      </w:r>
      <w:r w:rsidR="00D71B03" w:rsidRPr="002D6578">
        <w:rPr>
          <w:rFonts w:ascii="Times New Roman" w:hAnsi="Times New Roman" w:cs="Times New Roman"/>
        </w:rPr>
        <w:t>, stone borders, or similar</w:t>
      </w:r>
      <w:r w:rsidRPr="002D6578">
        <w:rPr>
          <w:rFonts w:ascii="Times New Roman" w:hAnsi="Times New Roman" w:cs="Times New Roman"/>
        </w:rPr>
        <w:t xml:space="preserve">. </w:t>
      </w:r>
      <w:r w:rsidR="00973F15" w:rsidRPr="002D6578">
        <w:rPr>
          <w:rFonts w:ascii="Times New Roman" w:hAnsi="Times New Roman" w:cs="Times New Roman"/>
        </w:rPr>
        <w:t xml:space="preserve"> </w:t>
      </w:r>
    </w:p>
    <w:p w14:paraId="06D193A8" w14:textId="3D984D4D" w:rsidR="00F752A6" w:rsidRPr="00973F15" w:rsidRDefault="00DF0D0D" w:rsidP="00D56E36">
      <w:pPr>
        <w:rPr>
          <w:rFonts w:ascii="Times New Roman" w:hAnsi="Times New Roman" w:cs="Times New Roman"/>
        </w:rPr>
      </w:pPr>
      <w:r w:rsidRPr="002D6578">
        <w:rPr>
          <w:rFonts w:ascii="Times New Roman" w:hAnsi="Times New Roman" w:cs="Times New Roman"/>
          <w:b/>
          <w:bCs/>
        </w:rPr>
        <w:t xml:space="preserve">Usable </w:t>
      </w:r>
      <w:r w:rsidR="00F752A6" w:rsidRPr="002D6578">
        <w:rPr>
          <w:rFonts w:ascii="Times New Roman" w:hAnsi="Times New Roman" w:cs="Times New Roman"/>
          <w:b/>
          <w:bCs/>
        </w:rPr>
        <w:t>Open Space.</w:t>
      </w:r>
      <w:r w:rsidR="00F752A6" w:rsidRPr="002D6578">
        <w:rPr>
          <w:rFonts w:ascii="Times New Roman" w:hAnsi="Times New Roman" w:cs="Times New Roman"/>
        </w:rPr>
        <w:t xml:space="preserve"> </w:t>
      </w:r>
      <w:r w:rsidR="00357D0B" w:rsidRPr="002D6578">
        <w:rPr>
          <w:rFonts w:ascii="Times New Roman" w:hAnsi="Times New Roman" w:cs="Times New Roman"/>
        </w:rPr>
        <w:t xml:space="preserve">A </w:t>
      </w:r>
      <w:r w:rsidR="00940F54" w:rsidRPr="002D6578">
        <w:rPr>
          <w:rFonts w:ascii="Times New Roman" w:hAnsi="Times New Roman" w:cs="Times New Roman"/>
        </w:rPr>
        <w:t xml:space="preserve">primarily </w:t>
      </w:r>
      <w:r w:rsidR="00357D0B" w:rsidRPr="002D6578">
        <w:rPr>
          <w:rFonts w:ascii="Times New Roman" w:hAnsi="Times New Roman" w:cs="Times New Roman"/>
        </w:rPr>
        <w:t>c</w:t>
      </w:r>
      <w:r w:rsidR="00F752A6" w:rsidRPr="002D6578">
        <w:rPr>
          <w:rFonts w:ascii="Times New Roman" w:hAnsi="Times New Roman" w:cs="Times New Roman"/>
        </w:rPr>
        <w:t>ontiguous outdoor or unenclosed area designed and accessible for outdoor living, recreation, pedestrian access, or landscaping</w:t>
      </w:r>
      <w:r w:rsidR="00357D0B" w:rsidRPr="002D6578">
        <w:rPr>
          <w:rFonts w:ascii="Times New Roman" w:hAnsi="Times New Roman" w:cs="Times New Roman"/>
        </w:rPr>
        <w:t xml:space="preserve">. Such areas may include </w:t>
      </w:r>
      <w:r w:rsidR="00F752A6" w:rsidRPr="002D6578">
        <w:rPr>
          <w:rFonts w:ascii="Times New Roman" w:hAnsi="Times New Roman" w:cs="Times New Roman"/>
        </w:rPr>
        <w:t>wetlands or ponds</w:t>
      </w:r>
      <w:r w:rsidR="00357D0B" w:rsidRPr="002D6578">
        <w:rPr>
          <w:rFonts w:ascii="Times New Roman" w:hAnsi="Times New Roman" w:cs="Times New Roman"/>
        </w:rPr>
        <w:t xml:space="preserve"> but shall exclude </w:t>
      </w:r>
      <w:r w:rsidR="00F752A6" w:rsidRPr="002D6578">
        <w:rPr>
          <w:rFonts w:ascii="Times New Roman" w:hAnsi="Times New Roman" w:cs="Times New Roman"/>
        </w:rPr>
        <w:t>parking facilities</w:t>
      </w:r>
      <w:r w:rsidR="008E5623" w:rsidRPr="002D6578">
        <w:rPr>
          <w:rFonts w:ascii="Times New Roman" w:hAnsi="Times New Roman" w:cs="Times New Roman"/>
        </w:rPr>
        <w:t xml:space="preserve"> and interior parking lot landscaping</w:t>
      </w:r>
      <w:r w:rsidR="00F752A6" w:rsidRPr="002D6578">
        <w:rPr>
          <w:rFonts w:ascii="Times New Roman" w:hAnsi="Times New Roman" w:cs="Times New Roman"/>
        </w:rPr>
        <w:t>, driveways, utility or service areas, required street yard</w:t>
      </w:r>
      <w:r w:rsidR="00357D0B" w:rsidRPr="002D6578">
        <w:rPr>
          <w:rFonts w:ascii="Times New Roman" w:hAnsi="Times New Roman" w:cs="Times New Roman"/>
        </w:rPr>
        <w:t>s</w:t>
      </w:r>
      <w:r w:rsidR="00F752A6" w:rsidRPr="002D6578">
        <w:rPr>
          <w:rFonts w:ascii="Times New Roman" w:hAnsi="Times New Roman" w:cs="Times New Roman"/>
        </w:rPr>
        <w:t>, and any space with a dimension of less than six</w:t>
      </w:r>
      <w:r w:rsidR="00357D0B" w:rsidRPr="002D6578">
        <w:rPr>
          <w:rFonts w:ascii="Times New Roman" w:hAnsi="Times New Roman" w:cs="Times New Roman"/>
        </w:rPr>
        <w:t xml:space="preserve"> (6)</w:t>
      </w:r>
      <w:r w:rsidR="00F752A6" w:rsidRPr="002D6578">
        <w:rPr>
          <w:rFonts w:ascii="Times New Roman" w:hAnsi="Times New Roman" w:cs="Times New Roman"/>
        </w:rPr>
        <w:t xml:space="preserve"> feet in any direction.</w:t>
      </w:r>
    </w:p>
    <w:sectPr w:rsidR="00F752A6" w:rsidRPr="00973F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CB96" w14:textId="77777777" w:rsidR="007A4DF0" w:rsidRDefault="007A4DF0" w:rsidP="002D6578">
      <w:pPr>
        <w:spacing w:after="0" w:line="240" w:lineRule="auto"/>
      </w:pPr>
      <w:r>
        <w:separator/>
      </w:r>
    </w:p>
  </w:endnote>
  <w:endnote w:type="continuationSeparator" w:id="0">
    <w:p w14:paraId="2A6C6D2A" w14:textId="77777777" w:rsidR="007A4DF0" w:rsidRDefault="007A4DF0" w:rsidP="002D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D95C" w14:textId="77777777" w:rsidR="002D6578" w:rsidRDefault="002D6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C3FA" w14:textId="77777777" w:rsidR="002D6578" w:rsidRDefault="002D6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353" w14:textId="77777777" w:rsidR="002D6578" w:rsidRDefault="002D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892D" w14:textId="77777777" w:rsidR="007A4DF0" w:rsidRDefault="007A4DF0" w:rsidP="002D6578">
      <w:pPr>
        <w:spacing w:after="0" w:line="240" w:lineRule="auto"/>
      </w:pPr>
      <w:r>
        <w:separator/>
      </w:r>
    </w:p>
  </w:footnote>
  <w:footnote w:type="continuationSeparator" w:id="0">
    <w:p w14:paraId="48AF7603" w14:textId="77777777" w:rsidR="007A4DF0" w:rsidRDefault="007A4DF0" w:rsidP="002D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1F2D" w14:textId="4F46EF60" w:rsidR="002D6578" w:rsidRDefault="007A4DF0">
    <w:pPr>
      <w:pStyle w:val="Header"/>
    </w:pPr>
    <w:r>
      <w:rPr>
        <w:noProof/>
      </w:rPr>
      <w:pict w14:anchorId="76C71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8579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AD02" w14:textId="3D33A255" w:rsidR="002D6578" w:rsidRDefault="007A4DF0">
    <w:pPr>
      <w:pStyle w:val="Header"/>
    </w:pPr>
    <w:r>
      <w:rPr>
        <w:noProof/>
      </w:rPr>
      <w:pict w14:anchorId="7A4ED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85798"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E260" w14:textId="6C9ED2D5" w:rsidR="002D6578" w:rsidRDefault="007A4DF0">
    <w:pPr>
      <w:pStyle w:val="Header"/>
    </w:pPr>
    <w:r>
      <w:rPr>
        <w:noProof/>
      </w:rPr>
      <w:pict w14:anchorId="61D2B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78579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8CB"/>
    <w:multiLevelType w:val="hybridMultilevel"/>
    <w:tmpl w:val="BCAE199E"/>
    <w:lvl w:ilvl="0" w:tplc="7F5080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3A7E7D"/>
    <w:multiLevelType w:val="hybridMultilevel"/>
    <w:tmpl w:val="F68E70E0"/>
    <w:lvl w:ilvl="0" w:tplc="D1B6B424">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4931CF"/>
    <w:multiLevelType w:val="hybridMultilevel"/>
    <w:tmpl w:val="A3FCA20E"/>
    <w:lvl w:ilvl="0" w:tplc="89F29FE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22C6B"/>
    <w:multiLevelType w:val="hybridMultilevel"/>
    <w:tmpl w:val="5A7CDA7C"/>
    <w:lvl w:ilvl="0" w:tplc="925A2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CE5AAC"/>
    <w:multiLevelType w:val="hybridMultilevel"/>
    <w:tmpl w:val="E7381174"/>
    <w:lvl w:ilvl="0" w:tplc="9E42DC82">
      <w:start w:val="1"/>
      <w:numFmt w:val="decimal"/>
      <w:lvlText w:val="%1."/>
      <w:lvlJc w:val="left"/>
      <w:pPr>
        <w:ind w:left="2160" w:hanging="360"/>
      </w:pPr>
      <w:rPr>
        <w:rFonts w:asciiTheme="minorHAnsi" w:hAnsiTheme="minorHAnsi"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E205E9F"/>
    <w:multiLevelType w:val="hybridMultilevel"/>
    <w:tmpl w:val="83A280B0"/>
    <w:lvl w:ilvl="0" w:tplc="AAC86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334786"/>
    <w:multiLevelType w:val="hybridMultilevel"/>
    <w:tmpl w:val="07F82BB2"/>
    <w:lvl w:ilvl="0" w:tplc="2C368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F708D6"/>
    <w:multiLevelType w:val="hybridMultilevel"/>
    <w:tmpl w:val="BAAE5E3C"/>
    <w:lvl w:ilvl="0" w:tplc="B9880C3C">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8" w15:restartNumberingAfterBreak="0">
    <w:nsid w:val="72D6435E"/>
    <w:multiLevelType w:val="hybridMultilevel"/>
    <w:tmpl w:val="E030456A"/>
    <w:lvl w:ilvl="0" w:tplc="05F4D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E31A1"/>
    <w:multiLevelType w:val="hybridMultilevel"/>
    <w:tmpl w:val="B094C95A"/>
    <w:lvl w:ilvl="0" w:tplc="E598A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453A6"/>
    <w:multiLevelType w:val="hybridMultilevel"/>
    <w:tmpl w:val="BBC29FC8"/>
    <w:lvl w:ilvl="0" w:tplc="31028BD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D18534E"/>
    <w:multiLevelType w:val="hybridMultilevel"/>
    <w:tmpl w:val="ABB822BE"/>
    <w:lvl w:ilvl="0" w:tplc="5AD4E19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9F6208"/>
    <w:multiLevelType w:val="hybridMultilevel"/>
    <w:tmpl w:val="44F497C6"/>
    <w:lvl w:ilvl="0" w:tplc="2F82E9D6">
      <w:start w:val="1"/>
      <w:numFmt w:val="decimal"/>
      <w:lvlText w:val="(%1)"/>
      <w:lvlJc w:val="left"/>
      <w:pPr>
        <w:ind w:left="117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B95076"/>
    <w:multiLevelType w:val="hybridMultilevel"/>
    <w:tmpl w:val="6C600294"/>
    <w:lvl w:ilvl="0" w:tplc="6D84C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2919650">
    <w:abstractNumId w:val="9"/>
  </w:num>
  <w:num w:numId="2" w16cid:durableId="1304887858">
    <w:abstractNumId w:val="2"/>
  </w:num>
  <w:num w:numId="3" w16cid:durableId="1862696933">
    <w:abstractNumId w:val="3"/>
  </w:num>
  <w:num w:numId="4" w16cid:durableId="487402269">
    <w:abstractNumId w:val="13"/>
  </w:num>
  <w:num w:numId="5" w16cid:durableId="1739204849">
    <w:abstractNumId w:val="5"/>
  </w:num>
  <w:num w:numId="6" w16cid:durableId="785926058">
    <w:abstractNumId w:val="6"/>
  </w:num>
  <w:num w:numId="7" w16cid:durableId="207187670">
    <w:abstractNumId w:val="7"/>
  </w:num>
  <w:num w:numId="8" w16cid:durableId="1409378359">
    <w:abstractNumId w:val="12"/>
  </w:num>
  <w:num w:numId="9" w16cid:durableId="1943536372">
    <w:abstractNumId w:val="11"/>
  </w:num>
  <w:num w:numId="10" w16cid:durableId="1840846844">
    <w:abstractNumId w:val="1"/>
  </w:num>
  <w:num w:numId="11" w16cid:durableId="571088449">
    <w:abstractNumId w:val="4"/>
  </w:num>
  <w:num w:numId="12" w16cid:durableId="1225678357">
    <w:abstractNumId w:val="10"/>
  </w:num>
  <w:num w:numId="13" w16cid:durableId="1451390274">
    <w:abstractNumId w:val="0"/>
  </w:num>
  <w:num w:numId="14" w16cid:durableId="1619530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4E"/>
    <w:rsid w:val="00000322"/>
    <w:rsid w:val="00020BF3"/>
    <w:rsid w:val="00045CE0"/>
    <w:rsid w:val="00091040"/>
    <w:rsid w:val="000E17F2"/>
    <w:rsid w:val="00155972"/>
    <w:rsid w:val="001724E0"/>
    <w:rsid w:val="001774EC"/>
    <w:rsid w:val="001B4CB5"/>
    <w:rsid w:val="001D5CAB"/>
    <w:rsid w:val="00241C5F"/>
    <w:rsid w:val="00262629"/>
    <w:rsid w:val="002671D3"/>
    <w:rsid w:val="002935CC"/>
    <w:rsid w:val="002A2D9F"/>
    <w:rsid w:val="002A55C0"/>
    <w:rsid w:val="002B79AC"/>
    <w:rsid w:val="002C305F"/>
    <w:rsid w:val="002D6578"/>
    <w:rsid w:val="00327DAA"/>
    <w:rsid w:val="003311BA"/>
    <w:rsid w:val="00335326"/>
    <w:rsid w:val="00357D0B"/>
    <w:rsid w:val="0039118E"/>
    <w:rsid w:val="003C7DAF"/>
    <w:rsid w:val="00460A19"/>
    <w:rsid w:val="00463075"/>
    <w:rsid w:val="00472996"/>
    <w:rsid w:val="004A56BE"/>
    <w:rsid w:val="004C2BFE"/>
    <w:rsid w:val="004E6E6E"/>
    <w:rsid w:val="004F06C6"/>
    <w:rsid w:val="004F2EE8"/>
    <w:rsid w:val="00526832"/>
    <w:rsid w:val="005275E6"/>
    <w:rsid w:val="005311D2"/>
    <w:rsid w:val="0053628C"/>
    <w:rsid w:val="005651DE"/>
    <w:rsid w:val="005C1F94"/>
    <w:rsid w:val="005D7649"/>
    <w:rsid w:val="00607FCE"/>
    <w:rsid w:val="00624039"/>
    <w:rsid w:val="006271B9"/>
    <w:rsid w:val="006348E2"/>
    <w:rsid w:val="00654530"/>
    <w:rsid w:val="00655AD7"/>
    <w:rsid w:val="00680A5D"/>
    <w:rsid w:val="006A7ACF"/>
    <w:rsid w:val="006D2AB2"/>
    <w:rsid w:val="006D4789"/>
    <w:rsid w:val="006E4D06"/>
    <w:rsid w:val="00746CA6"/>
    <w:rsid w:val="00770639"/>
    <w:rsid w:val="007A4DF0"/>
    <w:rsid w:val="007E0EFC"/>
    <w:rsid w:val="008059E6"/>
    <w:rsid w:val="00827E06"/>
    <w:rsid w:val="00843B9A"/>
    <w:rsid w:val="00872BFC"/>
    <w:rsid w:val="00877EFC"/>
    <w:rsid w:val="00887634"/>
    <w:rsid w:val="008A2C05"/>
    <w:rsid w:val="008B02FC"/>
    <w:rsid w:val="008E5623"/>
    <w:rsid w:val="008F03D9"/>
    <w:rsid w:val="00907054"/>
    <w:rsid w:val="00916826"/>
    <w:rsid w:val="00925BAB"/>
    <w:rsid w:val="00940F54"/>
    <w:rsid w:val="009668A9"/>
    <w:rsid w:val="00973F15"/>
    <w:rsid w:val="009A0825"/>
    <w:rsid w:val="009C7B11"/>
    <w:rsid w:val="009F1681"/>
    <w:rsid w:val="00A229F0"/>
    <w:rsid w:val="00A249DE"/>
    <w:rsid w:val="00A6469A"/>
    <w:rsid w:val="00A94EC0"/>
    <w:rsid w:val="00AB6D99"/>
    <w:rsid w:val="00B13177"/>
    <w:rsid w:val="00B821C0"/>
    <w:rsid w:val="00BD0B9D"/>
    <w:rsid w:val="00BD2C9B"/>
    <w:rsid w:val="00BD6E51"/>
    <w:rsid w:val="00BE42DC"/>
    <w:rsid w:val="00BF7C3D"/>
    <w:rsid w:val="00C034DB"/>
    <w:rsid w:val="00C35683"/>
    <w:rsid w:val="00C66AD2"/>
    <w:rsid w:val="00D26D58"/>
    <w:rsid w:val="00D5607E"/>
    <w:rsid w:val="00D56E36"/>
    <w:rsid w:val="00D64D7D"/>
    <w:rsid w:val="00D71B03"/>
    <w:rsid w:val="00DC5F9E"/>
    <w:rsid w:val="00DD2A4E"/>
    <w:rsid w:val="00DF0D0D"/>
    <w:rsid w:val="00DF4066"/>
    <w:rsid w:val="00E046AC"/>
    <w:rsid w:val="00E104B5"/>
    <w:rsid w:val="00E53083"/>
    <w:rsid w:val="00E62DAB"/>
    <w:rsid w:val="00E8527D"/>
    <w:rsid w:val="00EA5921"/>
    <w:rsid w:val="00EB56DB"/>
    <w:rsid w:val="00EE6F24"/>
    <w:rsid w:val="00F14430"/>
    <w:rsid w:val="00F607A3"/>
    <w:rsid w:val="00F672C7"/>
    <w:rsid w:val="00F752A6"/>
    <w:rsid w:val="00F834B6"/>
    <w:rsid w:val="00F959DA"/>
    <w:rsid w:val="00FA1D48"/>
    <w:rsid w:val="00FD13F2"/>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7196"/>
  <w15:chartTrackingRefBased/>
  <w15:docId w15:val="{6782091B-DA6F-4323-BB0E-D7D3CAF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A4E"/>
    <w:rPr>
      <w:rFonts w:eastAsiaTheme="majorEastAsia" w:cstheme="majorBidi"/>
      <w:color w:val="272727" w:themeColor="text1" w:themeTint="D8"/>
    </w:rPr>
  </w:style>
  <w:style w:type="paragraph" w:styleId="Title">
    <w:name w:val="Title"/>
    <w:basedOn w:val="Normal"/>
    <w:next w:val="Normal"/>
    <w:link w:val="TitleChar"/>
    <w:uiPriority w:val="10"/>
    <w:qFormat/>
    <w:rsid w:val="00DD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A4E"/>
    <w:pPr>
      <w:spacing w:before="160"/>
      <w:jc w:val="center"/>
    </w:pPr>
    <w:rPr>
      <w:i/>
      <w:iCs/>
      <w:color w:val="404040" w:themeColor="text1" w:themeTint="BF"/>
    </w:rPr>
  </w:style>
  <w:style w:type="character" w:customStyle="1" w:styleId="QuoteChar">
    <w:name w:val="Quote Char"/>
    <w:basedOn w:val="DefaultParagraphFont"/>
    <w:link w:val="Quote"/>
    <w:uiPriority w:val="29"/>
    <w:rsid w:val="00DD2A4E"/>
    <w:rPr>
      <w:i/>
      <w:iCs/>
      <w:color w:val="404040" w:themeColor="text1" w:themeTint="BF"/>
    </w:rPr>
  </w:style>
  <w:style w:type="paragraph" w:styleId="ListParagraph">
    <w:name w:val="List Paragraph"/>
    <w:basedOn w:val="Normal"/>
    <w:uiPriority w:val="34"/>
    <w:qFormat/>
    <w:rsid w:val="00DD2A4E"/>
    <w:pPr>
      <w:ind w:left="720"/>
      <w:contextualSpacing/>
    </w:pPr>
  </w:style>
  <w:style w:type="character" w:styleId="IntenseEmphasis">
    <w:name w:val="Intense Emphasis"/>
    <w:basedOn w:val="DefaultParagraphFont"/>
    <w:uiPriority w:val="21"/>
    <w:qFormat/>
    <w:rsid w:val="00DD2A4E"/>
    <w:rPr>
      <w:i/>
      <w:iCs/>
      <w:color w:val="0F4761" w:themeColor="accent1" w:themeShade="BF"/>
    </w:rPr>
  </w:style>
  <w:style w:type="paragraph" w:styleId="IntenseQuote">
    <w:name w:val="Intense Quote"/>
    <w:basedOn w:val="Normal"/>
    <w:next w:val="Normal"/>
    <w:link w:val="IntenseQuoteChar"/>
    <w:uiPriority w:val="30"/>
    <w:qFormat/>
    <w:rsid w:val="00DD2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A4E"/>
    <w:rPr>
      <w:i/>
      <w:iCs/>
      <w:color w:val="0F4761" w:themeColor="accent1" w:themeShade="BF"/>
    </w:rPr>
  </w:style>
  <w:style w:type="character" w:styleId="IntenseReference">
    <w:name w:val="Intense Reference"/>
    <w:basedOn w:val="DefaultParagraphFont"/>
    <w:uiPriority w:val="32"/>
    <w:qFormat/>
    <w:rsid w:val="00DD2A4E"/>
    <w:rPr>
      <w:b/>
      <w:bCs/>
      <w:smallCaps/>
      <w:color w:val="0F4761" w:themeColor="accent1" w:themeShade="BF"/>
      <w:spacing w:val="5"/>
    </w:rPr>
  </w:style>
  <w:style w:type="table" w:styleId="TableGrid">
    <w:name w:val="Table Grid"/>
    <w:basedOn w:val="TableNormal"/>
    <w:uiPriority w:val="39"/>
    <w:rsid w:val="0063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6BE"/>
    <w:rPr>
      <w:sz w:val="16"/>
      <w:szCs w:val="16"/>
    </w:rPr>
  </w:style>
  <w:style w:type="paragraph" w:styleId="CommentText">
    <w:name w:val="annotation text"/>
    <w:basedOn w:val="Normal"/>
    <w:link w:val="CommentTextChar"/>
    <w:uiPriority w:val="99"/>
    <w:unhideWhenUsed/>
    <w:rsid w:val="004A56BE"/>
    <w:pPr>
      <w:spacing w:line="240" w:lineRule="auto"/>
    </w:pPr>
    <w:rPr>
      <w:sz w:val="20"/>
      <w:szCs w:val="20"/>
    </w:rPr>
  </w:style>
  <w:style w:type="character" w:customStyle="1" w:styleId="CommentTextChar">
    <w:name w:val="Comment Text Char"/>
    <w:basedOn w:val="DefaultParagraphFont"/>
    <w:link w:val="CommentText"/>
    <w:uiPriority w:val="99"/>
    <w:rsid w:val="004A56BE"/>
    <w:rPr>
      <w:sz w:val="20"/>
      <w:szCs w:val="20"/>
    </w:rPr>
  </w:style>
  <w:style w:type="paragraph" w:styleId="CommentSubject">
    <w:name w:val="annotation subject"/>
    <w:basedOn w:val="CommentText"/>
    <w:next w:val="CommentText"/>
    <w:link w:val="CommentSubjectChar"/>
    <w:uiPriority w:val="99"/>
    <w:semiHidden/>
    <w:unhideWhenUsed/>
    <w:rsid w:val="004A56BE"/>
    <w:rPr>
      <w:b/>
      <w:bCs/>
    </w:rPr>
  </w:style>
  <w:style w:type="character" w:customStyle="1" w:styleId="CommentSubjectChar">
    <w:name w:val="Comment Subject Char"/>
    <w:basedOn w:val="CommentTextChar"/>
    <w:link w:val="CommentSubject"/>
    <w:uiPriority w:val="99"/>
    <w:semiHidden/>
    <w:rsid w:val="004A56BE"/>
    <w:rPr>
      <w:b/>
      <w:bCs/>
      <w:sz w:val="20"/>
      <w:szCs w:val="20"/>
    </w:rPr>
  </w:style>
  <w:style w:type="paragraph" w:styleId="Header">
    <w:name w:val="header"/>
    <w:basedOn w:val="Normal"/>
    <w:link w:val="HeaderChar"/>
    <w:uiPriority w:val="99"/>
    <w:unhideWhenUsed/>
    <w:rsid w:val="002D6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578"/>
  </w:style>
  <w:style w:type="paragraph" w:styleId="Footer">
    <w:name w:val="footer"/>
    <w:basedOn w:val="Normal"/>
    <w:link w:val="FooterChar"/>
    <w:uiPriority w:val="99"/>
    <w:unhideWhenUsed/>
    <w:rsid w:val="002D6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5E8D-88D4-4690-89E8-794A7ADC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5</Pages>
  <Words>1363</Words>
  <Characters>8575</Characters>
  <Application>Microsoft Office Word</Application>
  <DocSecurity>0</DocSecurity>
  <Lines>245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Nery de Farias</dc:creator>
  <cp:keywords/>
  <dc:description/>
  <cp:lastModifiedBy>Natalia Nery de Farias</cp:lastModifiedBy>
  <cp:revision>65</cp:revision>
  <cp:lastPrinted>2025-12-22T16:34:00Z</cp:lastPrinted>
  <dcterms:created xsi:type="dcterms:W3CDTF">2025-10-27T20:11:00Z</dcterms:created>
  <dcterms:modified xsi:type="dcterms:W3CDTF">2026-04-15T16:43:00Z</dcterms:modified>
</cp:coreProperties>
</file>